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C3D352D" w14:textId="77777777" w:rsidR="00A96251" w:rsidRPr="00A96251" w:rsidRDefault="00A96251" w:rsidP="00A07ED3">
      <w:pPr>
        <w:spacing w:line="257" w:lineRule="auto"/>
        <w:contextualSpacing/>
      </w:pPr>
      <w:r w:rsidRPr="00A96251">
        <w:rPr>
          <w:i/>
          <w:iCs/>
        </w:rPr>
        <w:t>The Logic of American Politics</w:t>
      </w:r>
      <w:r w:rsidRPr="00A96251">
        <w:t>, 7th Edition</w:t>
      </w:r>
    </w:p>
    <w:p w14:paraId="432DD4FE" w14:textId="77777777" w:rsidR="00A96251" w:rsidRPr="00A96251" w:rsidRDefault="00A96251" w:rsidP="00A07ED3">
      <w:pPr>
        <w:spacing w:line="257" w:lineRule="auto"/>
        <w:contextualSpacing/>
      </w:pPr>
      <w:r w:rsidRPr="00A96251">
        <w:t>Samuel Kernell, Gary C. Jacobson, Thad Kousser, and Lynn Vavreck</w:t>
      </w:r>
    </w:p>
    <w:p w14:paraId="328EA3AF" w14:textId="2BCD8976" w:rsidR="00A96251" w:rsidRDefault="00A96251" w:rsidP="00A07ED3">
      <w:pPr>
        <w:spacing w:line="257" w:lineRule="auto"/>
        <w:contextualSpacing/>
      </w:pPr>
      <w:r w:rsidRPr="00A96251">
        <w:t>Dat</w:t>
      </w:r>
      <w:r w:rsidR="00A07ED3">
        <w:t xml:space="preserve">a Literacy Exercises: Chapter </w:t>
      </w:r>
      <w:r>
        <w:t>7</w:t>
      </w:r>
    </w:p>
    <w:p w14:paraId="6A77352B" w14:textId="77777777" w:rsidR="00A96251" w:rsidRDefault="00A96251" w:rsidP="00A07ED3">
      <w:pPr>
        <w:spacing w:line="257" w:lineRule="auto"/>
        <w:contextualSpacing/>
      </w:pPr>
    </w:p>
    <w:p w14:paraId="7D7696F3" w14:textId="4E46ACC5" w:rsidR="00071C1F" w:rsidRDefault="00A96251" w:rsidP="00A07ED3">
      <w:pPr>
        <w:contextualSpacing/>
      </w:pPr>
      <w:r>
        <w:t>Figure</w:t>
      </w:r>
      <w:r w:rsidR="00071C1F">
        <w:t xml:space="preserve"> 7-3</w:t>
      </w:r>
    </w:p>
    <w:p w14:paraId="73AE9485" w14:textId="085EDCD5" w:rsidR="00A96251" w:rsidRDefault="00A96251" w:rsidP="00A07ED3">
      <w:pPr>
        <w:contextualSpacing/>
      </w:pPr>
      <w:r>
        <w:rPr>
          <w:noProof/>
        </w:rPr>
        <w:drawing>
          <wp:inline distT="0" distB="0" distL="0" distR="0" wp14:anchorId="74707DC8" wp14:editId="2A7C2280">
            <wp:extent cx="5943600" cy="4783873"/>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4783873"/>
                    </a:xfrm>
                    <a:prstGeom prst="rect">
                      <a:avLst/>
                    </a:prstGeom>
                    <a:noFill/>
                    <a:ln>
                      <a:noFill/>
                    </a:ln>
                  </pic:spPr>
                </pic:pic>
              </a:graphicData>
            </a:graphic>
          </wp:inline>
        </w:drawing>
      </w:r>
    </w:p>
    <w:p w14:paraId="3A4A93FF" w14:textId="77777777" w:rsidR="00A96251" w:rsidRDefault="00A96251" w:rsidP="00A07ED3">
      <w:pPr>
        <w:contextualSpacing/>
      </w:pPr>
      <w:bookmarkStart w:id="0" w:name="_GoBack"/>
      <w:bookmarkEnd w:id="0"/>
    </w:p>
    <w:p w14:paraId="4989F272" w14:textId="252E3342" w:rsidR="00071C1F" w:rsidRDefault="00071C1F" w:rsidP="00A07ED3">
      <w:pPr>
        <w:contextualSpacing/>
      </w:pPr>
      <w:r w:rsidRPr="00892C8C">
        <w:rPr>
          <w:b/>
        </w:rPr>
        <w:t xml:space="preserve">Learning </w:t>
      </w:r>
      <w:r w:rsidR="00892C8C" w:rsidRPr="00892C8C">
        <w:rPr>
          <w:b/>
        </w:rPr>
        <w:t>o</w:t>
      </w:r>
      <w:r w:rsidRPr="00892C8C">
        <w:rPr>
          <w:b/>
        </w:rPr>
        <w:t>bjective:</w:t>
      </w:r>
      <w:r>
        <w:t xml:space="preserve"> </w:t>
      </w:r>
      <w:r w:rsidR="00892C8C">
        <w:t xml:space="preserve">7.2 </w:t>
      </w:r>
      <w:r>
        <w:t>Discuss the modern presidency’s roles, powers, and challenges.</w:t>
      </w:r>
    </w:p>
    <w:p w14:paraId="78712D83" w14:textId="77777777" w:rsidR="00892C8C" w:rsidRDefault="00892C8C" w:rsidP="00A07ED3">
      <w:pPr>
        <w:contextualSpacing/>
      </w:pPr>
    </w:p>
    <w:p w14:paraId="4C26D728" w14:textId="77777777" w:rsidR="00071C1F" w:rsidRDefault="00071C1F" w:rsidP="00A07ED3">
      <w:pPr>
        <w:contextualSpacing/>
      </w:pPr>
      <w:r>
        <w:rPr>
          <w:i/>
        </w:rPr>
        <w:t>Divided Government</w:t>
      </w:r>
      <w:r>
        <w:t xml:space="preserve"> occurs when the party that controls the presidency does not control at least one chamber of the Congress.  Unified government was the norm during much of the 20</w:t>
      </w:r>
      <w:r>
        <w:rPr>
          <w:vertAlign w:val="superscript"/>
        </w:rPr>
        <w:t>th</w:t>
      </w:r>
      <w:r>
        <w:t xml:space="preserve"> century, but, as the text mentions, divided government has been the norm during most of the post-war period.  Many times, divided government occurs as a result of a midterm election when the president’s party is likely to lose seats while the incumbent president stays in place.  Or it may, as it did in 1931-1932, be the prelude to a realignment and new party system (see Chapter 12) that will usher in new party majorities in all chambers once all office-holders can be displaced.  Presidents, after all, serve four year terms, and only one-third of Senators are elected each cycle. </w:t>
      </w:r>
    </w:p>
    <w:p w14:paraId="28EBDFD2" w14:textId="77777777" w:rsidR="00892C8C" w:rsidRDefault="00892C8C" w:rsidP="00A07ED3">
      <w:pPr>
        <w:contextualSpacing/>
      </w:pPr>
    </w:p>
    <w:p w14:paraId="0918E7E9" w14:textId="77777777" w:rsidR="00071C1F" w:rsidRDefault="00071C1F" w:rsidP="00A07ED3">
      <w:pPr>
        <w:contextualSpacing/>
      </w:pPr>
      <w:r>
        <w:lastRenderedPageBreak/>
        <w:t>The overwhelming occurrence of divided government in recent decades, however, is not without historical precedent.  For much of the 19</w:t>
      </w:r>
      <w:r>
        <w:rPr>
          <w:vertAlign w:val="superscript"/>
        </w:rPr>
        <w:t>th</w:t>
      </w:r>
      <w:r>
        <w:t xml:space="preserve"> Century, divided government was also the norm after most midterms and/or as a result of realignments.  The following figure depicts instances of unified and divided government in the 19</w:t>
      </w:r>
      <w:r>
        <w:rPr>
          <w:vertAlign w:val="superscript"/>
        </w:rPr>
        <w:t>th</w:t>
      </w:r>
      <w:r>
        <w:t xml:space="preserve"> century after mass based elections became the norm (1828) and before the era of party regionalism ushered in by the election of 1896.  With the exception of the Civil War-Reconstruction period (that still witnessed close party competition outside of the South), the two-parties were so competitive nationally and within most states and districts, that a minor change in the partisan vote balance or turnout could easily tip the White House or Congress from one party to the other.  </w:t>
      </w:r>
    </w:p>
    <w:tbl>
      <w:tblPr>
        <w:tblW w:w="6570" w:type="dxa"/>
        <w:jc w:val="center"/>
        <w:tblLayout w:type="fixed"/>
        <w:tblLook w:val="04A0" w:firstRow="1" w:lastRow="0" w:firstColumn="1" w:lastColumn="0" w:noHBand="0" w:noVBand="1"/>
      </w:tblPr>
      <w:tblGrid>
        <w:gridCol w:w="1350"/>
        <w:gridCol w:w="2070"/>
        <w:gridCol w:w="810"/>
        <w:gridCol w:w="2340"/>
      </w:tblGrid>
      <w:tr w:rsidR="00071C1F" w14:paraId="48367B79" w14:textId="77777777" w:rsidTr="00071C1F">
        <w:trPr>
          <w:trHeight w:val="315"/>
          <w:jc w:val="center"/>
        </w:trPr>
        <w:tc>
          <w:tcPr>
            <w:tcW w:w="1350" w:type="dxa"/>
            <w:noWrap/>
            <w:vAlign w:val="bottom"/>
            <w:hideMark/>
          </w:tcPr>
          <w:p w14:paraId="24DD80E1"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Term</w:t>
            </w:r>
          </w:p>
        </w:tc>
        <w:tc>
          <w:tcPr>
            <w:tcW w:w="2070" w:type="dxa"/>
            <w:noWrap/>
            <w:vAlign w:val="bottom"/>
            <w:hideMark/>
          </w:tcPr>
          <w:p w14:paraId="60A5EB2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President</w:t>
            </w:r>
          </w:p>
        </w:tc>
        <w:tc>
          <w:tcPr>
            <w:tcW w:w="810" w:type="dxa"/>
            <w:noWrap/>
            <w:vAlign w:val="bottom"/>
            <w:hideMark/>
          </w:tcPr>
          <w:p w14:paraId="583A8EC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Party</w:t>
            </w:r>
          </w:p>
        </w:tc>
        <w:tc>
          <w:tcPr>
            <w:tcW w:w="2340" w:type="dxa"/>
            <w:noWrap/>
            <w:vAlign w:val="bottom"/>
            <w:hideMark/>
          </w:tcPr>
          <w:p w14:paraId="59846C2A"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w:t>
            </w:r>
          </w:p>
        </w:tc>
      </w:tr>
      <w:tr w:rsidR="00071C1F" w14:paraId="79E29E1B" w14:textId="77777777" w:rsidTr="00071C1F">
        <w:trPr>
          <w:trHeight w:val="300"/>
          <w:jc w:val="center"/>
        </w:trPr>
        <w:tc>
          <w:tcPr>
            <w:tcW w:w="1350" w:type="dxa"/>
            <w:noWrap/>
            <w:vAlign w:val="bottom"/>
            <w:hideMark/>
          </w:tcPr>
          <w:p w14:paraId="6D2BA03B" w14:textId="77777777" w:rsidR="00071C1F" w:rsidRDefault="00071C1F" w:rsidP="00A07ED3">
            <w:pPr>
              <w:contextualSpacing/>
              <w:rPr>
                <w:rFonts w:eastAsia="Times New Roman" w:cs="Arial"/>
                <w:color w:val="000000"/>
                <w:sz w:val="24"/>
                <w:szCs w:val="24"/>
              </w:rPr>
            </w:pPr>
          </w:p>
        </w:tc>
        <w:tc>
          <w:tcPr>
            <w:tcW w:w="2070" w:type="dxa"/>
            <w:noWrap/>
            <w:vAlign w:val="bottom"/>
            <w:hideMark/>
          </w:tcPr>
          <w:p w14:paraId="3DAED804" w14:textId="77777777" w:rsidR="00071C1F" w:rsidRDefault="00071C1F" w:rsidP="00A07ED3">
            <w:pPr>
              <w:spacing w:after="0"/>
              <w:contextualSpacing/>
              <w:rPr>
                <w:sz w:val="20"/>
                <w:szCs w:val="20"/>
              </w:rPr>
            </w:pPr>
          </w:p>
        </w:tc>
        <w:tc>
          <w:tcPr>
            <w:tcW w:w="810" w:type="dxa"/>
            <w:noWrap/>
            <w:vAlign w:val="bottom"/>
            <w:hideMark/>
          </w:tcPr>
          <w:p w14:paraId="77A1F089" w14:textId="77777777" w:rsidR="00071C1F" w:rsidRDefault="00071C1F" w:rsidP="00A07ED3">
            <w:pPr>
              <w:spacing w:after="0"/>
              <w:contextualSpacing/>
              <w:rPr>
                <w:sz w:val="20"/>
                <w:szCs w:val="20"/>
              </w:rPr>
            </w:pPr>
          </w:p>
        </w:tc>
        <w:tc>
          <w:tcPr>
            <w:tcW w:w="2340" w:type="dxa"/>
            <w:noWrap/>
            <w:vAlign w:val="bottom"/>
            <w:hideMark/>
          </w:tcPr>
          <w:p w14:paraId="1A95A4DE" w14:textId="77777777" w:rsidR="00071C1F" w:rsidRDefault="00071C1F" w:rsidP="00A07ED3">
            <w:pPr>
              <w:spacing w:after="0"/>
              <w:contextualSpacing/>
              <w:rPr>
                <w:sz w:val="20"/>
                <w:szCs w:val="20"/>
              </w:rPr>
            </w:pPr>
          </w:p>
        </w:tc>
      </w:tr>
      <w:tr w:rsidR="00071C1F" w14:paraId="57368894" w14:textId="77777777" w:rsidTr="00071C1F">
        <w:trPr>
          <w:trHeight w:val="315"/>
          <w:jc w:val="center"/>
        </w:trPr>
        <w:tc>
          <w:tcPr>
            <w:tcW w:w="1350" w:type="dxa"/>
            <w:shd w:val="clear" w:color="auto" w:fill="FFFFFF"/>
            <w:hideMark/>
          </w:tcPr>
          <w:p w14:paraId="05D85A4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1837–1839</w:t>
            </w:r>
          </w:p>
        </w:tc>
        <w:tc>
          <w:tcPr>
            <w:tcW w:w="2070" w:type="dxa"/>
            <w:shd w:val="clear" w:color="auto" w:fill="FFFFFF"/>
            <w:hideMark/>
          </w:tcPr>
          <w:p w14:paraId="580B77E8"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Van Buren</w:t>
            </w:r>
          </w:p>
        </w:tc>
        <w:tc>
          <w:tcPr>
            <w:tcW w:w="810" w:type="dxa"/>
            <w:shd w:val="clear" w:color="auto" w:fill="FFFFFF"/>
            <w:hideMark/>
          </w:tcPr>
          <w:p w14:paraId="4B03E8A1"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70005129"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696E6107" w14:textId="77777777" w:rsidTr="00071C1F">
        <w:trPr>
          <w:trHeight w:val="315"/>
          <w:jc w:val="center"/>
        </w:trPr>
        <w:tc>
          <w:tcPr>
            <w:tcW w:w="1350" w:type="dxa"/>
            <w:shd w:val="clear" w:color="auto" w:fill="FFFFFF"/>
            <w:hideMark/>
          </w:tcPr>
          <w:p w14:paraId="62228B2D"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1839–1841</w:t>
            </w:r>
          </w:p>
        </w:tc>
        <w:tc>
          <w:tcPr>
            <w:tcW w:w="2070" w:type="dxa"/>
            <w:shd w:val="clear" w:color="auto" w:fill="FFFFFF"/>
            <w:hideMark/>
          </w:tcPr>
          <w:p w14:paraId="62422F6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FFFFFF"/>
            <w:hideMark/>
          </w:tcPr>
          <w:p w14:paraId="2020D457"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267ECC3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1A11CA50" w14:textId="77777777" w:rsidTr="00071C1F">
        <w:trPr>
          <w:trHeight w:val="315"/>
          <w:jc w:val="center"/>
        </w:trPr>
        <w:tc>
          <w:tcPr>
            <w:tcW w:w="1350" w:type="dxa"/>
            <w:shd w:val="clear" w:color="auto" w:fill="FFFFFF"/>
            <w:hideMark/>
          </w:tcPr>
          <w:p w14:paraId="4A8D4912"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1841–1843</w:t>
            </w:r>
          </w:p>
        </w:tc>
        <w:tc>
          <w:tcPr>
            <w:tcW w:w="2070" w:type="dxa"/>
            <w:shd w:val="clear" w:color="auto" w:fill="FFFFFF"/>
            <w:hideMark/>
          </w:tcPr>
          <w:p w14:paraId="29391739"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W. Harrison/Tyler</w:t>
            </w:r>
          </w:p>
        </w:tc>
        <w:tc>
          <w:tcPr>
            <w:tcW w:w="810" w:type="dxa"/>
            <w:shd w:val="clear" w:color="auto" w:fill="FFFFFF"/>
            <w:hideMark/>
          </w:tcPr>
          <w:p w14:paraId="0E3CBDD3"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W</w:t>
            </w:r>
          </w:p>
        </w:tc>
        <w:tc>
          <w:tcPr>
            <w:tcW w:w="2340" w:type="dxa"/>
            <w:shd w:val="clear" w:color="auto" w:fill="FFFFFF"/>
            <w:hideMark/>
          </w:tcPr>
          <w:p w14:paraId="4B4B1281"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37A26E88" w14:textId="77777777" w:rsidTr="00071C1F">
        <w:trPr>
          <w:trHeight w:val="300"/>
          <w:jc w:val="center"/>
        </w:trPr>
        <w:tc>
          <w:tcPr>
            <w:tcW w:w="1350" w:type="dxa"/>
            <w:shd w:val="clear" w:color="auto" w:fill="C5D9F1"/>
            <w:hideMark/>
          </w:tcPr>
          <w:p w14:paraId="378B24A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1843–1845</w:t>
            </w:r>
          </w:p>
        </w:tc>
        <w:tc>
          <w:tcPr>
            <w:tcW w:w="2070" w:type="dxa"/>
            <w:shd w:val="clear" w:color="auto" w:fill="C5D9F1"/>
            <w:hideMark/>
          </w:tcPr>
          <w:p w14:paraId="700AAA81"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Tyler</w:t>
            </w:r>
          </w:p>
        </w:tc>
        <w:tc>
          <w:tcPr>
            <w:tcW w:w="810" w:type="dxa"/>
            <w:shd w:val="clear" w:color="auto" w:fill="C5D9F1"/>
            <w:hideMark/>
          </w:tcPr>
          <w:p w14:paraId="643C16C4"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W</w:t>
            </w:r>
          </w:p>
        </w:tc>
        <w:tc>
          <w:tcPr>
            <w:tcW w:w="2340" w:type="dxa"/>
            <w:shd w:val="clear" w:color="auto" w:fill="C5D9F1"/>
            <w:hideMark/>
          </w:tcPr>
          <w:p w14:paraId="70423970"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1820DFC9" w14:textId="77777777" w:rsidTr="00071C1F">
        <w:trPr>
          <w:trHeight w:val="315"/>
          <w:jc w:val="center"/>
        </w:trPr>
        <w:tc>
          <w:tcPr>
            <w:tcW w:w="1350" w:type="dxa"/>
            <w:shd w:val="clear" w:color="auto" w:fill="FFFFFF"/>
            <w:hideMark/>
          </w:tcPr>
          <w:p w14:paraId="6D772029"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1845–1847</w:t>
            </w:r>
          </w:p>
        </w:tc>
        <w:tc>
          <w:tcPr>
            <w:tcW w:w="2070" w:type="dxa"/>
            <w:shd w:val="clear" w:color="auto" w:fill="FFFFFF"/>
            <w:hideMark/>
          </w:tcPr>
          <w:p w14:paraId="0E19AD0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Polk</w:t>
            </w:r>
          </w:p>
        </w:tc>
        <w:tc>
          <w:tcPr>
            <w:tcW w:w="810" w:type="dxa"/>
            <w:shd w:val="clear" w:color="auto" w:fill="FFFFFF"/>
            <w:hideMark/>
          </w:tcPr>
          <w:p w14:paraId="0A106B6C"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32F5BB5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20E6C5A2" w14:textId="77777777" w:rsidTr="00071C1F">
        <w:trPr>
          <w:trHeight w:val="315"/>
          <w:jc w:val="center"/>
        </w:trPr>
        <w:tc>
          <w:tcPr>
            <w:tcW w:w="1350" w:type="dxa"/>
            <w:shd w:val="clear" w:color="auto" w:fill="C5D9F1"/>
            <w:hideMark/>
          </w:tcPr>
          <w:p w14:paraId="4035DA11"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1847–1849</w:t>
            </w:r>
          </w:p>
        </w:tc>
        <w:tc>
          <w:tcPr>
            <w:tcW w:w="2070" w:type="dxa"/>
            <w:shd w:val="clear" w:color="auto" w:fill="C5D9F1"/>
            <w:hideMark/>
          </w:tcPr>
          <w:p w14:paraId="6CFB92EB"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0A402BEC"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5AE1BB99"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13693500" w14:textId="77777777" w:rsidTr="00071C1F">
        <w:trPr>
          <w:trHeight w:val="315"/>
          <w:jc w:val="center"/>
        </w:trPr>
        <w:tc>
          <w:tcPr>
            <w:tcW w:w="1350" w:type="dxa"/>
            <w:shd w:val="clear" w:color="auto" w:fill="C5D9F1"/>
            <w:hideMark/>
          </w:tcPr>
          <w:p w14:paraId="5038A4A7"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1849–1851</w:t>
            </w:r>
          </w:p>
        </w:tc>
        <w:tc>
          <w:tcPr>
            <w:tcW w:w="2070" w:type="dxa"/>
            <w:shd w:val="clear" w:color="auto" w:fill="C5D9F1"/>
            <w:hideMark/>
          </w:tcPr>
          <w:p w14:paraId="28117B7A"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Taylor/Fillmore</w:t>
            </w:r>
          </w:p>
        </w:tc>
        <w:tc>
          <w:tcPr>
            <w:tcW w:w="810" w:type="dxa"/>
            <w:shd w:val="clear" w:color="auto" w:fill="C5D9F1"/>
            <w:hideMark/>
          </w:tcPr>
          <w:p w14:paraId="41BAC4D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W</w:t>
            </w:r>
          </w:p>
        </w:tc>
        <w:tc>
          <w:tcPr>
            <w:tcW w:w="2340" w:type="dxa"/>
            <w:shd w:val="clear" w:color="auto" w:fill="C5D9F1"/>
            <w:hideMark/>
          </w:tcPr>
          <w:p w14:paraId="351F78C7"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w:t>
            </w:r>
          </w:p>
        </w:tc>
      </w:tr>
      <w:tr w:rsidR="00071C1F" w14:paraId="74443561" w14:textId="77777777" w:rsidTr="00071C1F">
        <w:trPr>
          <w:trHeight w:val="300"/>
          <w:jc w:val="center"/>
        </w:trPr>
        <w:tc>
          <w:tcPr>
            <w:tcW w:w="1350" w:type="dxa"/>
            <w:shd w:val="clear" w:color="auto" w:fill="C5D9F1"/>
            <w:hideMark/>
          </w:tcPr>
          <w:p w14:paraId="4622F826"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1851–1853</w:t>
            </w:r>
          </w:p>
        </w:tc>
        <w:tc>
          <w:tcPr>
            <w:tcW w:w="2070" w:type="dxa"/>
            <w:shd w:val="clear" w:color="auto" w:fill="C5D9F1"/>
            <w:hideMark/>
          </w:tcPr>
          <w:p w14:paraId="469697A8"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Fillmore</w:t>
            </w:r>
          </w:p>
        </w:tc>
        <w:tc>
          <w:tcPr>
            <w:tcW w:w="810" w:type="dxa"/>
            <w:shd w:val="clear" w:color="auto" w:fill="C5D9F1"/>
            <w:hideMark/>
          </w:tcPr>
          <w:p w14:paraId="1A44D74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W</w:t>
            </w:r>
          </w:p>
        </w:tc>
        <w:tc>
          <w:tcPr>
            <w:tcW w:w="2340" w:type="dxa"/>
            <w:shd w:val="clear" w:color="auto" w:fill="C5D9F1"/>
            <w:hideMark/>
          </w:tcPr>
          <w:p w14:paraId="5E04ABEB"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w:t>
            </w:r>
          </w:p>
        </w:tc>
      </w:tr>
      <w:tr w:rsidR="00071C1F" w14:paraId="03BB01A3" w14:textId="77777777" w:rsidTr="00071C1F">
        <w:trPr>
          <w:trHeight w:val="315"/>
          <w:jc w:val="center"/>
        </w:trPr>
        <w:tc>
          <w:tcPr>
            <w:tcW w:w="1350" w:type="dxa"/>
            <w:shd w:val="clear" w:color="auto" w:fill="FFFFFF"/>
            <w:hideMark/>
          </w:tcPr>
          <w:p w14:paraId="77C0B05D"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1853–1855</w:t>
            </w:r>
          </w:p>
        </w:tc>
        <w:tc>
          <w:tcPr>
            <w:tcW w:w="2070" w:type="dxa"/>
            <w:shd w:val="clear" w:color="auto" w:fill="FFFFFF"/>
            <w:hideMark/>
          </w:tcPr>
          <w:p w14:paraId="363ACFC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Pierce</w:t>
            </w:r>
          </w:p>
        </w:tc>
        <w:tc>
          <w:tcPr>
            <w:tcW w:w="810" w:type="dxa"/>
            <w:shd w:val="clear" w:color="auto" w:fill="FFFFFF"/>
            <w:hideMark/>
          </w:tcPr>
          <w:p w14:paraId="0942DA9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64C8BB01"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74B1E320" w14:textId="77777777" w:rsidTr="00071C1F">
        <w:trPr>
          <w:trHeight w:val="300"/>
          <w:jc w:val="center"/>
        </w:trPr>
        <w:tc>
          <w:tcPr>
            <w:tcW w:w="1350" w:type="dxa"/>
            <w:shd w:val="clear" w:color="auto" w:fill="C5D9F1"/>
            <w:hideMark/>
          </w:tcPr>
          <w:p w14:paraId="383A8FC0"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1855–1857</w:t>
            </w:r>
          </w:p>
        </w:tc>
        <w:tc>
          <w:tcPr>
            <w:tcW w:w="2070" w:type="dxa"/>
            <w:shd w:val="clear" w:color="auto" w:fill="C5D9F1"/>
            <w:hideMark/>
          </w:tcPr>
          <w:p w14:paraId="39A981C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36E5997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213E78ED"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36E19AE1" w14:textId="77777777" w:rsidTr="00071C1F">
        <w:trPr>
          <w:trHeight w:val="315"/>
          <w:jc w:val="center"/>
        </w:trPr>
        <w:tc>
          <w:tcPr>
            <w:tcW w:w="1350" w:type="dxa"/>
            <w:shd w:val="clear" w:color="auto" w:fill="FFFFFF"/>
            <w:hideMark/>
          </w:tcPr>
          <w:p w14:paraId="67634A51"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1857–1859</w:t>
            </w:r>
          </w:p>
        </w:tc>
        <w:tc>
          <w:tcPr>
            <w:tcW w:w="2070" w:type="dxa"/>
            <w:shd w:val="clear" w:color="auto" w:fill="FFFFFF"/>
            <w:hideMark/>
          </w:tcPr>
          <w:p w14:paraId="672703D4"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Buchanan</w:t>
            </w:r>
          </w:p>
        </w:tc>
        <w:tc>
          <w:tcPr>
            <w:tcW w:w="810" w:type="dxa"/>
            <w:shd w:val="clear" w:color="auto" w:fill="FFFFFF"/>
            <w:hideMark/>
          </w:tcPr>
          <w:p w14:paraId="5ECAC643"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2424E7E9"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659B7B66" w14:textId="77777777" w:rsidTr="00071C1F">
        <w:trPr>
          <w:trHeight w:val="315"/>
          <w:jc w:val="center"/>
        </w:trPr>
        <w:tc>
          <w:tcPr>
            <w:tcW w:w="1350" w:type="dxa"/>
            <w:shd w:val="clear" w:color="auto" w:fill="C5D9F1"/>
            <w:hideMark/>
          </w:tcPr>
          <w:p w14:paraId="07FF7D49"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1859–1861</w:t>
            </w:r>
          </w:p>
        </w:tc>
        <w:tc>
          <w:tcPr>
            <w:tcW w:w="2070" w:type="dxa"/>
            <w:shd w:val="clear" w:color="auto" w:fill="C5D9F1"/>
            <w:hideMark/>
          </w:tcPr>
          <w:p w14:paraId="6F76214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21E86143"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6AE81C8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4D55FC08" w14:textId="77777777" w:rsidTr="00071C1F">
        <w:trPr>
          <w:trHeight w:val="315"/>
          <w:jc w:val="center"/>
        </w:trPr>
        <w:tc>
          <w:tcPr>
            <w:tcW w:w="1350" w:type="dxa"/>
            <w:shd w:val="clear" w:color="auto" w:fill="FFFFFF"/>
            <w:hideMark/>
          </w:tcPr>
          <w:p w14:paraId="18D9EAC6"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1861–1863</w:t>
            </w:r>
          </w:p>
        </w:tc>
        <w:tc>
          <w:tcPr>
            <w:tcW w:w="2070" w:type="dxa"/>
            <w:shd w:val="clear" w:color="auto" w:fill="FFFFFF"/>
            <w:hideMark/>
          </w:tcPr>
          <w:p w14:paraId="7B1064E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Lincoln</w:t>
            </w:r>
          </w:p>
        </w:tc>
        <w:tc>
          <w:tcPr>
            <w:tcW w:w="810" w:type="dxa"/>
            <w:shd w:val="clear" w:color="auto" w:fill="FFFFFF"/>
            <w:hideMark/>
          </w:tcPr>
          <w:p w14:paraId="3EFCBE60"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0120407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75B51065" w14:textId="77777777" w:rsidTr="00071C1F">
        <w:trPr>
          <w:trHeight w:val="300"/>
          <w:jc w:val="center"/>
        </w:trPr>
        <w:tc>
          <w:tcPr>
            <w:tcW w:w="1350" w:type="dxa"/>
            <w:shd w:val="clear" w:color="auto" w:fill="FFFFFF"/>
            <w:hideMark/>
          </w:tcPr>
          <w:p w14:paraId="76B2A0D6"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1863–1865</w:t>
            </w:r>
          </w:p>
        </w:tc>
        <w:tc>
          <w:tcPr>
            <w:tcW w:w="2070" w:type="dxa"/>
            <w:shd w:val="clear" w:color="auto" w:fill="FFFFFF"/>
            <w:hideMark/>
          </w:tcPr>
          <w:p w14:paraId="3DD1268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FFFFFF"/>
            <w:hideMark/>
          </w:tcPr>
          <w:p w14:paraId="1BC0F652"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54B66E5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4FC89946" w14:textId="77777777" w:rsidTr="00071C1F">
        <w:trPr>
          <w:trHeight w:val="315"/>
          <w:jc w:val="center"/>
        </w:trPr>
        <w:tc>
          <w:tcPr>
            <w:tcW w:w="1350" w:type="dxa"/>
            <w:shd w:val="clear" w:color="auto" w:fill="FFFFFF"/>
            <w:hideMark/>
          </w:tcPr>
          <w:p w14:paraId="3E42E362"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1865–1867</w:t>
            </w:r>
          </w:p>
        </w:tc>
        <w:tc>
          <w:tcPr>
            <w:tcW w:w="2070" w:type="dxa"/>
            <w:shd w:val="clear" w:color="auto" w:fill="FFFFFF"/>
            <w:hideMark/>
          </w:tcPr>
          <w:p w14:paraId="271A07A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A. Johnson</w:t>
            </w:r>
          </w:p>
        </w:tc>
        <w:tc>
          <w:tcPr>
            <w:tcW w:w="810" w:type="dxa"/>
            <w:shd w:val="clear" w:color="auto" w:fill="FFFFFF"/>
            <w:hideMark/>
          </w:tcPr>
          <w:p w14:paraId="2CA3B44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1F49081A"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6EE39014" w14:textId="77777777" w:rsidTr="00071C1F">
        <w:trPr>
          <w:trHeight w:val="225"/>
          <w:jc w:val="center"/>
        </w:trPr>
        <w:tc>
          <w:tcPr>
            <w:tcW w:w="1350" w:type="dxa"/>
            <w:shd w:val="clear" w:color="auto" w:fill="FFFFFF"/>
            <w:hideMark/>
          </w:tcPr>
          <w:p w14:paraId="5DACE560"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1867–1869</w:t>
            </w:r>
          </w:p>
        </w:tc>
        <w:tc>
          <w:tcPr>
            <w:tcW w:w="2070" w:type="dxa"/>
            <w:shd w:val="clear" w:color="auto" w:fill="FFFFFF"/>
            <w:hideMark/>
          </w:tcPr>
          <w:p w14:paraId="4CE870A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FFFFFF"/>
            <w:hideMark/>
          </w:tcPr>
          <w:p w14:paraId="0C35F21D"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0C95EE4C"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7328CF08" w14:textId="77777777" w:rsidTr="00071C1F">
        <w:trPr>
          <w:trHeight w:val="360"/>
          <w:jc w:val="center"/>
        </w:trPr>
        <w:tc>
          <w:tcPr>
            <w:tcW w:w="1350" w:type="dxa"/>
            <w:shd w:val="clear" w:color="auto" w:fill="FFFFFF"/>
            <w:hideMark/>
          </w:tcPr>
          <w:p w14:paraId="2B1B517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1869–1871</w:t>
            </w:r>
          </w:p>
        </w:tc>
        <w:tc>
          <w:tcPr>
            <w:tcW w:w="2070" w:type="dxa"/>
            <w:shd w:val="clear" w:color="auto" w:fill="FFFFFF"/>
            <w:hideMark/>
          </w:tcPr>
          <w:p w14:paraId="52121CE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Grant</w:t>
            </w:r>
          </w:p>
        </w:tc>
        <w:tc>
          <w:tcPr>
            <w:tcW w:w="810" w:type="dxa"/>
            <w:shd w:val="clear" w:color="auto" w:fill="FFFFFF"/>
            <w:hideMark/>
          </w:tcPr>
          <w:p w14:paraId="1BEC74E2"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594CD233"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184678CC" w14:textId="77777777" w:rsidTr="00071C1F">
        <w:trPr>
          <w:trHeight w:val="300"/>
          <w:jc w:val="center"/>
        </w:trPr>
        <w:tc>
          <w:tcPr>
            <w:tcW w:w="1350" w:type="dxa"/>
            <w:shd w:val="clear" w:color="auto" w:fill="FFFFFF"/>
            <w:hideMark/>
          </w:tcPr>
          <w:p w14:paraId="7F9B644F"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1871–1873</w:t>
            </w:r>
          </w:p>
        </w:tc>
        <w:tc>
          <w:tcPr>
            <w:tcW w:w="2070" w:type="dxa"/>
            <w:shd w:val="clear" w:color="auto" w:fill="FFFFFF"/>
            <w:hideMark/>
          </w:tcPr>
          <w:p w14:paraId="07641507"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FFFFFF"/>
            <w:hideMark/>
          </w:tcPr>
          <w:p w14:paraId="2587576E"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5431DF0B"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7CA537A8" w14:textId="77777777" w:rsidTr="00071C1F">
        <w:trPr>
          <w:trHeight w:val="315"/>
          <w:jc w:val="center"/>
        </w:trPr>
        <w:tc>
          <w:tcPr>
            <w:tcW w:w="1350" w:type="dxa"/>
            <w:shd w:val="clear" w:color="auto" w:fill="FFFFFF"/>
            <w:hideMark/>
          </w:tcPr>
          <w:p w14:paraId="6294EEB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1873–1875</w:t>
            </w:r>
          </w:p>
        </w:tc>
        <w:tc>
          <w:tcPr>
            <w:tcW w:w="2070" w:type="dxa"/>
            <w:shd w:val="clear" w:color="auto" w:fill="FFFFFF"/>
            <w:hideMark/>
          </w:tcPr>
          <w:p w14:paraId="0697D78D"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FFFFFF"/>
            <w:hideMark/>
          </w:tcPr>
          <w:p w14:paraId="0A34FE9D"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2E187DF7"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673BDB74" w14:textId="77777777" w:rsidTr="00071C1F">
        <w:trPr>
          <w:trHeight w:val="300"/>
          <w:jc w:val="center"/>
        </w:trPr>
        <w:tc>
          <w:tcPr>
            <w:tcW w:w="1350" w:type="dxa"/>
            <w:shd w:val="clear" w:color="auto" w:fill="C5D9F1"/>
            <w:hideMark/>
          </w:tcPr>
          <w:p w14:paraId="69551A72"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1875–1877</w:t>
            </w:r>
          </w:p>
        </w:tc>
        <w:tc>
          <w:tcPr>
            <w:tcW w:w="2070" w:type="dxa"/>
            <w:shd w:val="clear" w:color="auto" w:fill="C5D9F1"/>
            <w:hideMark/>
          </w:tcPr>
          <w:p w14:paraId="00E46F58"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569033F9"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C5D9F1"/>
            <w:hideMark/>
          </w:tcPr>
          <w:p w14:paraId="7526A95A"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0E4B5C81" w14:textId="77777777" w:rsidTr="00071C1F">
        <w:trPr>
          <w:trHeight w:val="300"/>
          <w:jc w:val="center"/>
        </w:trPr>
        <w:tc>
          <w:tcPr>
            <w:tcW w:w="1350" w:type="dxa"/>
            <w:shd w:val="clear" w:color="auto" w:fill="C5D9F1"/>
            <w:hideMark/>
          </w:tcPr>
          <w:p w14:paraId="7E5ED16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1877–1879</w:t>
            </w:r>
          </w:p>
        </w:tc>
        <w:tc>
          <w:tcPr>
            <w:tcW w:w="2070" w:type="dxa"/>
            <w:shd w:val="clear" w:color="auto" w:fill="C5D9F1"/>
            <w:hideMark/>
          </w:tcPr>
          <w:p w14:paraId="169505BC"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Hayes</w:t>
            </w:r>
          </w:p>
        </w:tc>
        <w:tc>
          <w:tcPr>
            <w:tcW w:w="810" w:type="dxa"/>
            <w:shd w:val="clear" w:color="auto" w:fill="C5D9F1"/>
            <w:hideMark/>
          </w:tcPr>
          <w:p w14:paraId="6E09CD8B"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C5D9F1"/>
            <w:hideMark/>
          </w:tcPr>
          <w:p w14:paraId="091F3BF2"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0DDF19D4" w14:textId="77777777" w:rsidTr="00071C1F">
        <w:trPr>
          <w:trHeight w:val="300"/>
          <w:jc w:val="center"/>
        </w:trPr>
        <w:tc>
          <w:tcPr>
            <w:tcW w:w="1350" w:type="dxa"/>
            <w:shd w:val="clear" w:color="auto" w:fill="C5D9F1"/>
            <w:hideMark/>
          </w:tcPr>
          <w:p w14:paraId="7C286D11"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1879–1881</w:t>
            </w:r>
          </w:p>
        </w:tc>
        <w:tc>
          <w:tcPr>
            <w:tcW w:w="2070" w:type="dxa"/>
            <w:shd w:val="clear" w:color="auto" w:fill="C5D9F1"/>
            <w:hideMark/>
          </w:tcPr>
          <w:p w14:paraId="35ED2BD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66B700DC"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C5D9F1"/>
            <w:hideMark/>
          </w:tcPr>
          <w:p w14:paraId="15A8F581"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w:t>
            </w:r>
          </w:p>
        </w:tc>
      </w:tr>
      <w:tr w:rsidR="00071C1F" w14:paraId="27B6FE0B" w14:textId="77777777" w:rsidTr="00071C1F">
        <w:trPr>
          <w:trHeight w:val="315"/>
          <w:jc w:val="center"/>
        </w:trPr>
        <w:tc>
          <w:tcPr>
            <w:tcW w:w="1350" w:type="dxa"/>
            <w:shd w:val="clear" w:color="auto" w:fill="FFFFFF"/>
            <w:hideMark/>
          </w:tcPr>
          <w:p w14:paraId="42EE83D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1881–1883</w:t>
            </w:r>
          </w:p>
        </w:tc>
        <w:tc>
          <w:tcPr>
            <w:tcW w:w="2070" w:type="dxa"/>
            <w:shd w:val="clear" w:color="auto" w:fill="FFFFFF"/>
            <w:hideMark/>
          </w:tcPr>
          <w:p w14:paraId="53441D21"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Garfield/Arthur</w:t>
            </w:r>
          </w:p>
        </w:tc>
        <w:tc>
          <w:tcPr>
            <w:tcW w:w="810" w:type="dxa"/>
            <w:shd w:val="clear" w:color="auto" w:fill="FFFFFF"/>
            <w:hideMark/>
          </w:tcPr>
          <w:p w14:paraId="771E4EE8"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60C604E7"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782A74C6" w14:textId="77777777" w:rsidTr="00071C1F">
        <w:trPr>
          <w:trHeight w:val="300"/>
          <w:jc w:val="center"/>
        </w:trPr>
        <w:tc>
          <w:tcPr>
            <w:tcW w:w="1350" w:type="dxa"/>
            <w:shd w:val="clear" w:color="auto" w:fill="C5D9F1"/>
            <w:hideMark/>
          </w:tcPr>
          <w:p w14:paraId="323CA398"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1883–1885</w:t>
            </w:r>
          </w:p>
        </w:tc>
        <w:tc>
          <w:tcPr>
            <w:tcW w:w="2070" w:type="dxa"/>
            <w:shd w:val="clear" w:color="auto" w:fill="C5D9F1"/>
            <w:hideMark/>
          </w:tcPr>
          <w:p w14:paraId="5B5CCF84"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Arthur</w:t>
            </w:r>
          </w:p>
        </w:tc>
        <w:tc>
          <w:tcPr>
            <w:tcW w:w="810" w:type="dxa"/>
            <w:shd w:val="clear" w:color="auto" w:fill="C5D9F1"/>
            <w:hideMark/>
          </w:tcPr>
          <w:p w14:paraId="1291D7DE"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C5D9F1"/>
            <w:hideMark/>
          </w:tcPr>
          <w:p w14:paraId="00131C1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2A214E17" w14:textId="77777777" w:rsidTr="00071C1F">
        <w:trPr>
          <w:trHeight w:val="315"/>
          <w:jc w:val="center"/>
        </w:trPr>
        <w:tc>
          <w:tcPr>
            <w:tcW w:w="1350" w:type="dxa"/>
            <w:shd w:val="clear" w:color="auto" w:fill="C5D9F1"/>
            <w:hideMark/>
          </w:tcPr>
          <w:p w14:paraId="0FCED3E2"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1885–1887</w:t>
            </w:r>
          </w:p>
        </w:tc>
        <w:tc>
          <w:tcPr>
            <w:tcW w:w="2070" w:type="dxa"/>
            <w:shd w:val="clear" w:color="auto" w:fill="C5D9F1"/>
            <w:hideMark/>
          </w:tcPr>
          <w:p w14:paraId="0CA34146"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Cleveland</w:t>
            </w:r>
          </w:p>
        </w:tc>
        <w:tc>
          <w:tcPr>
            <w:tcW w:w="810" w:type="dxa"/>
            <w:shd w:val="clear" w:color="auto" w:fill="C5D9F1"/>
            <w:hideMark/>
          </w:tcPr>
          <w:p w14:paraId="6E0BC86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55153865"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Divided-Senate Only</w:t>
            </w:r>
          </w:p>
        </w:tc>
      </w:tr>
      <w:tr w:rsidR="00071C1F" w14:paraId="02609CF6" w14:textId="77777777" w:rsidTr="00071C1F">
        <w:trPr>
          <w:trHeight w:val="300"/>
          <w:jc w:val="center"/>
        </w:trPr>
        <w:tc>
          <w:tcPr>
            <w:tcW w:w="1350" w:type="dxa"/>
            <w:shd w:val="clear" w:color="auto" w:fill="C5D9F1"/>
            <w:hideMark/>
          </w:tcPr>
          <w:p w14:paraId="5ABD823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1887–1889</w:t>
            </w:r>
          </w:p>
        </w:tc>
        <w:tc>
          <w:tcPr>
            <w:tcW w:w="2070" w:type="dxa"/>
            <w:shd w:val="clear" w:color="auto" w:fill="C5D9F1"/>
            <w:hideMark/>
          </w:tcPr>
          <w:p w14:paraId="3338C10F"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235330D2"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4984AFF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Divided-Senate Only</w:t>
            </w:r>
          </w:p>
        </w:tc>
      </w:tr>
      <w:tr w:rsidR="00071C1F" w14:paraId="437D2486" w14:textId="77777777" w:rsidTr="00071C1F">
        <w:trPr>
          <w:trHeight w:val="315"/>
          <w:jc w:val="center"/>
        </w:trPr>
        <w:tc>
          <w:tcPr>
            <w:tcW w:w="1350" w:type="dxa"/>
            <w:shd w:val="clear" w:color="auto" w:fill="FFFFFF"/>
            <w:hideMark/>
          </w:tcPr>
          <w:p w14:paraId="4F723C3E"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1889–1891</w:t>
            </w:r>
          </w:p>
        </w:tc>
        <w:tc>
          <w:tcPr>
            <w:tcW w:w="2070" w:type="dxa"/>
            <w:shd w:val="clear" w:color="auto" w:fill="FFFFFF"/>
            <w:hideMark/>
          </w:tcPr>
          <w:p w14:paraId="6C7DFD2D"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B. Harrison</w:t>
            </w:r>
          </w:p>
        </w:tc>
        <w:tc>
          <w:tcPr>
            <w:tcW w:w="810" w:type="dxa"/>
            <w:shd w:val="clear" w:color="auto" w:fill="FFFFFF"/>
            <w:hideMark/>
          </w:tcPr>
          <w:p w14:paraId="38669259"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FFFFFF"/>
            <w:hideMark/>
          </w:tcPr>
          <w:p w14:paraId="5209227E"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093C45BD" w14:textId="77777777" w:rsidTr="00071C1F">
        <w:trPr>
          <w:trHeight w:val="300"/>
          <w:jc w:val="center"/>
        </w:trPr>
        <w:tc>
          <w:tcPr>
            <w:tcW w:w="1350" w:type="dxa"/>
            <w:shd w:val="clear" w:color="auto" w:fill="C5D9F1"/>
            <w:hideMark/>
          </w:tcPr>
          <w:p w14:paraId="32EEFFF9"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1891–1893</w:t>
            </w:r>
          </w:p>
        </w:tc>
        <w:tc>
          <w:tcPr>
            <w:tcW w:w="2070" w:type="dxa"/>
            <w:shd w:val="clear" w:color="auto" w:fill="C5D9F1"/>
            <w:hideMark/>
          </w:tcPr>
          <w:p w14:paraId="15DEBE6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1D3AA805"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R</w:t>
            </w:r>
          </w:p>
        </w:tc>
        <w:tc>
          <w:tcPr>
            <w:tcW w:w="2340" w:type="dxa"/>
            <w:shd w:val="clear" w:color="auto" w:fill="C5D9F1"/>
            <w:hideMark/>
          </w:tcPr>
          <w:p w14:paraId="6E4C894D"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Divided-House Only</w:t>
            </w:r>
          </w:p>
        </w:tc>
      </w:tr>
      <w:tr w:rsidR="00071C1F" w14:paraId="563836D2" w14:textId="77777777" w:rsidTr="00071C1F">
        <w:trPr>
          <w:trHeight w:val="315"/>
          <w:jc w:val="center"/>
        </w:trPr>
        <w:tc>
          <w:tcPr>
            <w:tcW w:w="1350" w:type="dxa"/>
            <w:shd w:val="clear" w:color="auto" w:fill="FFFFFF"/>
            <w:hideMark/>
          </w:tcPr>
          <w:p w14:paraId="684C1363"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1893–1895</w:t>
            </w:r>
          </w:p>
        </w:tc>
        <w:tc>
          <w:tcPr>
            <w:tcW w:w="2070" w:type="dxa"/>
            <w:shd w:val="clear" w:color="auto" w:fill="FFFFFF"/>
            <w:hideMark/>
          </w:tcPr>
          <w:p w14:paraId="4990B1DA"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Cleveland</w:t>
            </w:r>
          </w:p>
        </w:tc>
        <w:tc>
          <w:tcPr>
            <w:tcW w:w="810" w:type="dxa"/>
            <w:shd w:val="clear" w:color="auto" w:fill="FFFFFF"/>
            <w:hideMark/>
          </w:tcPr>
          <w:p w14:paraId="4F03DFD2"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FFFFFF"/>
            <w:hideMark/>
          </w:tcPr>
          <w:p w14:paraId="62AE5D25"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Unified</w:t>
            </w:r>
          </w:p>
        </w:tc>
      </w:tr>
      <w:tr w:rsidR="00071C1F" w14:paraId="6BD578FE" w14:textId="77777777" w:rsidTr="00071C1F">
        <w:trPr>
          <w:trHeight w:val="300"/>
          <w:jc w:val="center"/>
        </w:trPr>
        <w:tc>
          <w:tcPr>
            <w:tcW w:w="1350" w:type="dxa"/>
            <w:shd w:val="clear" w:color="auto" w:fill="C5D9F1"/>
            <w:hideMark/>
          </w:tcPr>
          <w:p w14:paraId="459C0316"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1895–1897</w:t>
            </w:r>
          </w:p>
        </w:tc>
        <w:tc>
          <w:tcPr>
            <w:tcW w:w="2070" w:type="dxa"/>
            <w:shd w:val="clear" w:color="auto" w:fill="C5D9F1"/>
            <w:hideMark/>
          </w:tcPr>
          <w:p w14:paraId="0D2F32F2" w14:textId="77777777" w:rsidR="00071C1F" w:rsidRDefault="00071C1F" w:rsidP="00A07ED3">
            <w:pPr>
              <w:spacing w:after="0" w:line="240" w:lineRule="auto"/>
              <w:contextualSpacing/>
              <w:rPr>
                <w:rFonts w:eastAsia="Times New Roman" w:cs="Arial"/>
                <w:color w:val="000000"/>
                <w:sz w:val="24"/>
                <w:szCs w:val="24"/>
              </w:rPr>
            </w:pPr>
            <w:r>
              <w:rPr>
                <w:rFonts w:eastAsia="Times New Roman" w:cs="Arial"/>
                <w:color w:val="000000"/>
                <w:sz w:val="24"/>
                <w:szCs w:val="24"/>
              </w:rPr>
              <w:t> </w:t>
            </w:r>
          </w:p>
        </w:tc>
        <w:tc>
          <w:tcPr>
            <w:tcW w:w="810" w:type="dxa"/>
            <w:shd w:val="clear" w:color="auto" w:fill="C5D9F1"/>
            <w:hideMark/>
          </w:tcPr>
          <w:p w14:paraId="66C21A1F"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w:t>
            </w:r>
          </w:p>
        </w:tc>
        <w:tc>
          <w:tcPr>
            <w:tcW w:w="2340" w:type="dxa"/>
            <w:shd w:val="clear" w:color="auto" w:fill="C5D9F1"/>
            <w:hideMark/>
          </w:tcPr>
          <w:p w14:paraId="3F70F78C" w14:textId="77777777" w:rsidR="00071C1F" w:rsidRDefault="00071C1F" w:rsidP="00A07ED3">
            <w:pPr>
              <w:spacing w:after="0" w:line="240" w:lineRule="auto"/>
              <w:contextualSpacing/>
              <w:jc w:val="center"/>
              <w:rPr>
                <w:rFonts w:eastAsia="Times New Roman" w:cs="Arial"/>
                <w:color w:val="000000"/>
                <w:sz w:val="24"/>
                <w:szCs w:val="24"/>
              </w:rPr>
            </w:pPr>
            <w:r>
              <w:rPr>
                <w:rFonts w:eastAsia="Times New Roman" w:cs="Arial"/>
                <w:color w:val="000000"/>
                <w:sz w:val="24"/>
                <w:szCs w:val="24"/>
              </w:rPr>
              <w:t>Divided</w:t>
            </w:r>
          </w:p>
        </w:tc>
      </w:tr>
    </w:tbl>
    <w:p w14:paraId="5BCF329F" w14:textId="77777777" w:rsidR="00071C1F" w:rsidRDefault="00071C1F" w:rsidP="00A07ED3">
      <w:pPr>
        <w:contextualSpacing/>
      </w:pPr>
      <w:r>
        <w:t xml:space="preserve">Source:  Lyn Ragsdale, </w:t>
      </w:r>
      <w:r>
        <w:rPr>
          <w:i/>
        </w:rPr>
        <w:t>Vital Statistics on the Presidency</w:t>
      </w:r>
      <w:r>
        <w:t>, 4</w:t>
      </w:r>
      <w:r>
        <w:rPr>
          <w:vertAlign w:val="superscript"/>
        </w:rPr>
        <w:t>th</w:t>
      </w:r>
      <w:r>
        <w:t xml:space="preserve"> ed., Table 9-1, CQ Press (2014)</w:t>
      </w:r>
    </w:p>
    <w:p w14:paraId="444A05CA" w14:textId="43CCF7FE" w:rsidR="00071C1F" w:rsidRPr="00892C8C" w:rsidRDefault="00892C8C" w:rsidP="00A07ED3">
      <w:pPr>
        <w:contextualSpacing/>
        <w:rPr>
          <w:b/>
        </w:rPr>
      </w:pPr>
      <w:r w:rsidRPr="00892C8C">
        <w:rPr>
          <w:b/>
        </w:rPr>
        <w:lastRenderedPageBreak/>
        <w:t>Questions to Consider:</w:t>
      </w:r>
    </w:p>
    <w:p w14:paraId="5F3F2443" w14:textId="77777777" w:rsidR="00A07ED3" w:rsidRDefault="00A07ED3" w:rsidP="00A07ED3">
      <w:pPr>
        <w:contextualSpacing/>
      </w:pPr>
    </w:p>
    <w:p w14:paraId="66CCFB29" w14:textId="29529860" w:rsidR="00071C1F" w:rsidRDefault="00892C8C" w:rsidP="00A07ED3">
      <w:pPr>
        <w:contextualSpacing/>
      </w:pPr>
      <w:r>
        <w:t xml:space="preserve">1. </w:t>
      </w:r>
      <w:r w:rsidR="00071C1F">
        <w:t>Since 1920, divided government has been most prevalent during which administrations?</w:t>
      </w:r>
    </w:p>
    <w:p w14:paraId="60CC397F" w14:textId="072C3A64" w:rsidR="00071C1F" w:rsidRDefault="00892C8C" w:rsidP="00A07ED3">
      <w:pPr>
        <w:contextualSpacing/>
      </w:pPr>
      <w:proofErr w:type="gramStart"/>
      <w:r>
        <w:t xml:space="preserve">a. </w:t>
      </w:r>
      <w:r w:rsidR="00071C1F">
        <w:t>Jimmy</w:t>
      </w:r>
      <w:proofErr w:type="gramEnd"/>
      <w:r w:rsidR="00071C1F">
        <w:t xml:space="preserve"> Carter</w:t>
      </w:r>
    </w:p>
    <w:p w14:paraId="15C6A2AB" w14:textId="7176F601" w:rsidR="00071C1F" w:rsidRPr="00A96251" w:rsidRDefault="00892C8C" w:rsidP="00A07ED3">
      <w:pPr>
        <w:contextualSpacing/>
      </w:pPr>
      <w:r>
        <w:t xml:space="preserve">*b. </w:t>
      </w:r>
      <w:r w:rsidR="00071C1F" w:rsidRPr="00A96251">
        <w:t>Dwight Eisenhower</w:t>
      </w:r>
    </w:p>
    <w:p w14:paraId="005B3252" w14:textId="44050721" w:rsidR="00071C1F" w:rsidRDefault="00892C8C" w:rsidP="00A07ED3">
      <w:pPr>
        <w:contextualSpacing/>
      </w:pPr>
      <w:proofErr w:type="gramStart"/>
      <w:r>
        <w:t>c</w:t>
      </w:r>
      <w:proofErr w:type="gramEnd"/>
      <w:r>
        <w:t xml:space="preserve">. </w:t>
      </w:r>
      <w:r w:rsidR="00071C1F">
        <w:t>Ronald Reagan</w:t>
      </w:r>
    </w:p>
    <w:p w14:paraId="45A6301B" w14:textId="70BF7663" w:rsidR="00071C1F" w:rsidRDefault="00892C8C" w:rsidP="00A07ED3">
      <w:pPr>
        <w:contextualSpacing/>
      </w:pPr>
      <w:proofErr w:type="gramStart"/>
      <w:r>
        <w:t>d</w:t>
      </w:r>
      <w:proofErr w:type="gramEnd"/>
      <w:r>
        <w:t xml:space="preserve">. </w:t>
      </w:r>
      <w:r w:rsidR="00071C1F">
        <w:t>George W. Bush</w:t>
      </w:r>
    </w:p>
    <w:p w14:paraId="13905E1E" w14:textId="77777777" w:rsidR="00071C1F" w:rsidRDefault="00071C1F" w:rsidP="00A07ED3">
      <w:pPr>
        <w:contextualSpacing/>
      </w:pPr>
    </w:p>
    <w:p w14:paraId="247772C0" w14:textId="7C2DB570" w:rsidR="00071C1F" w:rsidRDefault="00892C8C" w:rsidP="00A07ED3">
      <w:pPr>
        <w:contextualSpacing/>
      </w:pPr>
      <w:r>
        <w:t xml:space="preserve">@ Feedback: </w:t>
      </w:r>
      <w:r w:rsidR="00071C1F">
        <w:t>President Eisenhower faced an opposition majority throughout his eight years in office.  Jimmy Carter in none.  Ronald Reagan only faced the opposition in both houses once, as did George W. Bush.</w:t>
      </w:r>
    </w:p>
    <w:p w14:paraId="1579FF07" w14:textId="77777777" w:rsidR="00071C1F" w:rsidRDefault="00071C1F" w:rsidP="00A07ED3">
      <w:pPr>
        <w:contextualSpacing/>
      </w:pPr>
    </w:p>
    <w:p w14:paraId="043969C4" w14:textId="00968519" w:rsidR="00071C1F" w:rsidRDefault="00892C8C" w:rsidP="00A07ED3">
      <w:pPr>
        <w:contextualSpacing/>
      </w:pPr>
      <w:r>
        <w:t xml:space="preserve">2. </w:t>
      </w:r>
      <w:r w:rsidR="00071C1F">
        <w:t>Between 1920 and 1944, divided government occurred only during the administration of:</w:t>
      </w:r>
    </w:p>
    <w:p w14:paraId="299B3CDA" w14:textId="1B7D7F98" w:rsidR="00071C1F" w:rsidRDefault="00892C8C" w:rsidP="00A07ED3">
      <w:pPr>
        <w:contextualSpacing/>
      </w:pPr>
      <w:proofErr w:type="gramStart"/>
      <w:r>
        <w:t>a</w:t>
      </w:r>
      <w:proofErr w:type="gramEnd"/>
      <w:r>
        <w:t xml:space="preserve">. </w:t>
      </w:r>
      <w:r w:rsidR="00071C1F">
        <w:t>Warren Harding</w:t>
      </w:r>
    </w:p>
    <w:p w14:paraId="437A36F6" w14:textId="6A87414A" w:rsidR="00071C1F" w:rsidRDefault="00892C8C" w:rsidP="00A07ED3">
      <w:pPr>
        <w:contextualSpacing/>
      </w:pPr>
      <w:proofErr w:type="gramStart"/>
      <w:r>
        <w:t>b</w:t>
      </w:r>
      <w:proofErr w:type="gramEnd"/>
      <w:r>
        <w:t xml:space="preserve">. </w:t>
      </w:r>
      <w:r w:rsidR="00071C1F">
        <w:t>Calvin Coolidge</w:t>
      </w:r>
    </w:p>
    <w:p w14:paraId="429B44F2" w14:textId="50DBD124" w:rsidR="00071C1F" w:rsidRPr="00A96251" w:rsidRDefault="00892C8C" w:rsidP="00A07ED3">
      <w:pPr>
        <w:contextualSpacing/>
      </w:pPr>
      <w:r>
        <w:t xml:space="preserve">*c. </w:t>
      </w:r>
      <w:r w:rsidR="00071C1F" w:rsidRPr="00A96251">
        <w:t>Herbert Hoover</w:t>
      </w:r>
    </w:p>
    <w:p w14:paraId="59B0DFFD" w14:textId="48C59408" w:rsidR="00071C1F" w:rsidRDefault="00892C8C" w:rsidP="00A07ED3">
      <w:pPr>
        <w:contextualSpacing/>
      </w:pPr>
      <w:proofErr w:type="gramStart"/>
      <w:r>
        <w:t>d</w:t>
      </w:r>
      <w:proofErr w:type="gramEnd"/>
      <w:r>
        <w:t xml:space="preserve">. </w:t>
      </w:r>
      <w:r w:rsidR="00071C1F">
        <w:t>Franklin Roosevelt</w:t>
      </w:r>
    </w:p>
    <w:p w14:paraId="5ECCDBD5" w14:textId="77777777" w:rsidR="00892C8C" w:rsidRDefault="00892C8C" w:rsidP="00A07ED3">
      <w:pPr>
        <w:contextualSpacing/>
      </w:pPr>
    </w:p>
    <w:p w14:paraId="718DD236" w14:textId="741A6DEA" w:rsidR="00071C1F" w:rsidRDefault="00892C8C" w:rsidP="00A07ED3">
      <w:pPr>
        <w:contextualSpacing/>
      </w:pPr>
      <w:r>
        <w:t xml:space="preserve">@ Feedback: </w:t>
      </w:r>
      <w:r w:rsidR="00071C1F">
        <w:t>This country transitioned, or realigned, from a republican to a Democratic nation after the Great Depression started in 1929.  The movement to Democratic majorities started in the U.S. House in 1930 while Republican president Herbert Hoover was still in office.  Even then, he faced opposition only in the House (remember, only one-third of Senators are elected each two-year cycle).</w:t>
      </w:r>
      <w:r w:rsidR="00071C1F">
        <w:tab/>
      </w:r>
      <w:r w:rsidR="00071C1F">
        <w:br w:type="page"/>
      </w:r>
    </w:p>
    <w:p w14:paraId="68C651A2" w14:textId="77777777" w:rsidR="00071C1F" w:rsidRDefault="00071C1F" w:rsidP="00A07ED3">
      <w:pPr>
        <w:contextualSpacing/>
      </w:pPr>
      <w:r>
        <w:lastRenderedPageBreak/>
        <w:t>Figure 7-2</w:t>
      </w:r>
    </w:p>
    <w:p w14:paraId="1B36A2F9" w14:textId="58ADA074" w:rsidR="00071C1F" w:rsidRDefault="00A96251" w:rsidP="00A07ED3">
      <w:pPr>
        <w:contextualSpacing/>
      </w:pPr>
      <w:r>
        <w:rPr>
          <w:noProof/>
        </w:rPr>
        <w:drawing>
          <wp:inline distT="0" distB="0" distL="0" distR="0" wp14:anchorId="5725F8E1" wp14:editId="38F11907">
            <wp:extent cx="5943600" cy="4353059"/>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4353059"/>
                    </a:xfrm>
                    <a:prstGeom prst="rect">
                      <a:avLst/>
                    </a:prstGeom>
                    <a:noFill/>
                    <a:ln>
                      <a:noFill/>
                    </a:ln>
                  </pic:spPr>
                </pic:pic>
              </a:graphicData>
            </a:graphic>
          </wp:inline>
        </w:drawing>
      </w:r>
      <w:r w:rsidR="00071C1F" w:rsidRPr="00F43758">
        <w:rPr>
          <w:b/>
        </w:rPr>
        <w:t xml:space="preserve">Learning </w:t>
      </w:r>
      <w:r w:rsidR="00F43758" w:rsidRPr="00F43758">
        <w:rPr>
          <w:b/>
        </w:rPr>
        <w:t>o</w:t>
      </w:r>
      <w:r w:rsidR="00071C1F" w:rsidRPr="00F43758">
        <w:rPr>
          <w:b/>
        </w:rPr>
        <w:t>bjective:</w:t>
      </w:r>
      <w:r w:rsidR="00071C1F">
        <w:t xml:space="preserve"> </w:t>
      </w:r>
      <w:r w:rsidR="00892C8C">
        <w:t xml:space="preserve">7.3 </w:t>
      </w:r>
      <w:proofErr w:type="gramStart"/>
      <w:r w:rsidR="00071C1F">
        <w:t>Explain</w:t>
      </w:r>
      <w:proofErr w:type="gramEnd"/>
      <w:r w:rsidR="00071C1F">
        <w:t xml:space="preserve"> the dilemma of the president as a strategic actor.</w:t>
      </w:r>
    </w:p>
    <w:p w14:paraId="1A16EC3F" w14:textId="77777777" w:rsidR="00071C1F" w:rsidRDefault="00071C1F" w:rsidP="00A07ED3">
      <w:pPr>
        <w:contextualSpacing/>
      </w:pPr>
    </w:p>
    <w:p w14:paraId="7C71F2CB" w14:textId="77777777" w:rsidR="00071C1F" w:rsidRDefault="00071C1F" w:rsidP="00A07ED3">
      <w:pPr>
        <w:contextualSpacing/>
      </w:pPr>
      <w:r>
        <w:t>The ability of the president to veto legislation is clearly specified in Article I, Section 7 of the U.S. Constitution (although the term “veto” is never used).  Most Constitutional scholars would argue that the Framers assumed that power would be used sparingly, lest “checks and balances” supersede “separation of powers.”   The veto, or its threat, however, has since become a common method of legislative power exercised by the president when congressional policy does not quite coincide with his own preferences.</w:t>
      </w:r>
    </w:p>
    <w:p w14:paraId="17F15816" w14:textId="77777777" w:rsidR="00F43758" w:rsidRDefault="00F43758" w:rsidP="00A07ED3">
      <w:pPr>
        <w:contextualSpacing/>
      </w:pPr>
    </w:p>
    <w:p w14:paraId="3A7C41A5" w14:textId="77777777" w:rsidR="00071C1F" w:rsidRDefault="00071C1F" w:rsidP="00A07ED3">
      <w:pPr>
        <w:contextualSpacing/>
      </w:pPr>
      <w:r>
        <w:t xml:space="preserve">One would </w:t>
      </w:r>
      <w:proofErr w:type="gramStart"/>
      <w:r>
        <w:t>assume,</w:t>
      </w:r>
      <w:proofErr w:type="gramEnd"/>
      <w:r>
        <w:t xml:space="preserve"> that as a point of policy negotiation, presidents would be most likely to use the veto during periods of divided government, when the opposition party controls one, more likely, both chambers of Congress.  In his first term in office, Grover Cleveland (D) vetoed more legislation per year than any other president.  He was opposed by an opposition Senate, but not House.  Franklin D. Roosevelt (D-1933-1945) holds the record for total if not annual vetoes (635), but his party held both chambers by large majorities for most of his administration.  Number of vetoes may, of course, be a factor of the total number of bills enacted by Congress.  FDR’s record number was certainly an attempt to reign in the left-leaning policies of a newly and overwhelming Democratic Congress, but it also was a series of congresses that were passing record numbers of important legislation.  President Barack Obama vetoed only 2 bills during his first six years in office (4 years with the opposition in control of the House), but congress passed fewer bills than in any time in modern history.   The dramatically increased </w:t>
      </w:r>
      <w:r>
        <w:lastRenderedPageBreak/>
        <w:t>use of the filibuster also prevents congress from passing legislation before it can even be handed over to the president for his signature or veto.  And, unlike, the 19</w:t>
      </w:r>
      <w:r>
        <w:rPr>
          <w:vertAlign w:val="superscript"/>
        </w:rPr>
        <w:t>th</w:t>
      </w:r>
      <w:r>
        <w:t xml:space="preserve"> and much of the 20</w:t>
      </w:r>
      <w:r>
        <w:rPr>
          <w:vertAlign w:val="superscript"/>
        </w:rPr>
        <w:t>th</w:t>
      </w:r>
      <w:r>
        <w:t xml:space="preserve"> centuries, legislation now gets pieced together in such a way as to make it difficult for presidents to veto legislation without losing most of what they wish to achieve.  Unlike most governors, presidents do not have a “line-item” veto and, thus, must sign or reject whole, multi-faceted bills (a limitation affirmed by the U.S. Supreme Court in </w:t>
      </w:r>
      <w:r>
        <w:rPr>
          <w:i/>
        </w:rPr>
        <w:t>Clinton v. City of New York</w:t>
      </w:r>
      <w:r>
        <w:t>, 1998).  One more change should be noted.  Prior to the 1970s, a large proportion, sometimes a majority, of bills enacted would be ‘private’, i.e., geared to helping a single individual or entity.  Since the 1970s, that practice has declined to virtual insignificance.*</w:t>
      </w:r>
    </w:p>
    <w:p w14:paraId="4BEF1FFF" w14:textId="77777777" w:rsidR="00071C1F" w:rsidRDefault="00071C1F" w:rsidP="00A07ED3">
      <w:pPr>
        <w:contextualSpacing/>
      </w:pPr>
      <w:r>
        <w:t xml:space="preserve">The following figure depicts the percentage of all legislation (private and public) passed by congress that the president vetoed, separating each administration by congressional term.  Note that, even with President Obama’s hesitancy to use the veto, the veto percentage is generally higher during periods of divided government (blue), even with the same president in authority.  </w:t>
      </w:r>
    </w:p>
    <w:p w14:paraId="20CD0495" w14:textId="77777777" w:rsidR="00F43758" w:rsidRDefault="00F43758" w:rsidP="00A07ED3">
      <w:pPr>
        <w:contextualSpacing/>
      </w:pPr>
    </w:p>
    <w:p w14:paraId="3DEF7EA9" w14:textId="77777777" w:rsidR="00F43758" w:rsidRDefault="00071C1F" w:rsidP="00A07ED3">
      <w:pPr>
        <w:contextualSpacing/>
      </w:pPr>
      <w:r>
        <w:t xml:space="preserve">*For an excellent overview of the complexities of measuring vetoes across time, see Charles M. Cameron, “the Presidential Veto,” </w:t>
      </w:r>
      <w:hyperlink r:id="rId7" w:history="1">
        <w:r w:rsidR="00F43758" w:rsidRPr="00207495">
          <w:rPr>
            <w:rStyle w:val="Hyperlink"/>
          </w:rPr>
          <w:t>http://www.princeton.edu/~ccameron/The%20Presidential%20Veto%20v3.pdf</w:t>
        </w:r>
      </w:hyperlink>
    </w:p>
    <w:p w14:paraId="14C940F2" w14:textId="77777777" w:rsidR="00F43758" w:rsidRDefault="00F43758" w:rsidP="00A07ED3">
      <w:pPr>
        <w:contextualSpacing/>
      </w:pPr>
    </w:p>
    <w:p w14:paraId="62074216" w14:textId="27DAED2B" w:rsidR="00071C1F" w:rsidRDefault="00F43758" w:rsidP="00A07ED3">
      <w:pPr>
        <w:contextualSpacing/>
      </w:pPr>
      <w:r>
        <w:t xml:space="preserve"> </w:t>
      </w:r>
      <w:r w:rsidR="00071C1F">
        <w:rPr>
          <w:noProof/>
        </w:rPr>
        <w:drawing>
          <wp:inline distT="0" distB="0" distL="0" distR="0" wp14:anchorId="66E79FBA" wp14:editId="5EE78300">
            <wp:extent cx="5848350" cy="3419475"/>
            <wp:effectExtent l="0" t="0" r="0" b="95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4B7F2753" w14:textId="77777777" w:rsidR="00071C1F" w:rsidRDefault="00071C1F" w:rsidP="00A07ED3">
      <w:pPr>
        <w:contextualSpacing/>
      </w:pPr>
      <w:r>
        <w:t xml:space="preserve">Source:  Norman J. Ornstein, Thomas E. Mann, Andrew </w:t>
      </w:r>
      <w:proofErr w:type="spellStart"/>
      <w:r>
        <w:t>Rugg</w:t>
      </w:r>
      <w:proofErr w:type="spellEnd"/>
      <w:r>
        <w:t xml:space="preserve">, and Michael J. </w:t>
      </w:r>
      <w:proofErr w:type="spellStart"/>
      <w:r>
        <w:t>Malbin</w:t>
      </w:r>
      <w:proofErr w:type="spellEnd"/>
      <w:r>
        <w:t xml:space="preserve">, Vital Statistics on Congress, </w:t>
      </w:r>
      <w:hyperlink r:id="rId9" w:history="1">
        <w:r>
          <w:rPr>
            <w:rStyle w:val="Hyperlink"/>
          </w:rPr>
          <w:t>https://www.aei.org/publication/vital-statistics-on-congress/</w:t>
        </w:r>
      </w:hyperlink>
      <w:r>
        <w:t xml:space="preserve"> and The American Presidency Project, </w:t>
      </w:r>
      <w:hyperlink r:id="rId10" w:history="1">
        <w:r>
          <w:rPr>
            <w:rStyle w:val="Hyperlink"/>
          </w:rPr>
          <w:t>http://www.presidency.ucsb.edu/data/vetoes.php</w:t>
        </w:r>
      </w:hyperlink>
      <w:r>
        <w:t>.</w:t>
      </w:r>
    </w:p>
    <w:p w14:paraId="5CE01F7E" w14:textId="77777777" w:rsidR="00071C1F" w:rsidRDefault="00071C1F" w:rsidP="00A07ED3">
      <w:pPr>
        <w:contextualSpacing/>
      </w:pPr>
    </w:p>
    <w:p w14:paraId="1D24FBD8" w14:textId="341C0822" w:rsidR="00071C1F" w:rsidRPr="00F43758" w:rsidRDefault="00F43758" w:rsidP="00A07ED3">
      <w:pPr>
        <w:contextualSpacing/>
        <w:rPr>
          <w:b/>
        </w:rPr>
      </w:pPr>
      <w:r w:rsidRPr="00F43758">
        <w:rPr>
          <w:b/>
        </w:rPr>
        <w:t>Questions to Consider:</w:t>
      </w:r>
    </w:p>
    <w:p w14:paraId="4E8DE1CB" w14:textId="77777777" w:rsidR="00F43758" w:rsidRDefault="00F43758" w:rsidP="00A07ED3">
      <w:pPr>
        <w:contextualSpacing/>
      </w:pPr>
    </w:p>
    <w:p w14:paraId="2EDE437E" w14:textId="3270BC98" w:rsidR="00071C1F" w:rsidRDefault="00F43758" w:rsidP="00A07ED3">
      <w:pPr>
        <w:contextualSpacing/>
      </w:pPr>
      <w:r>
        <w:t xml:space="preserve">1. </w:t>
      </w:r>
      <w:r w:rsidR="00071C1F">
        <w:t>Which president vetoed the most legislation on average each year of his administration?</w:t>
      </w:r>
    </w:p>
    <w:p w14:paraId="1FD01131" w14:textId="00190CDD" w:rsidR="00071C1F" w:rsidRPr="00A96251" w:rsidRDefault="00F43758" w:rsidP="00A07ED3">
      <w:pPr>
        <w:contextualSpacing/>
      </w:pPr>
      <w:r>
        <w:t xml:space="preserve">*a. </w:t>
      </w:r>
      <w:r w:rsidR="00071C1F" w:rsidRPr="00A96251">
        <w:t>Truman</w:t>
      </w:r>
    </w:p>
    <w:p w14:paraId="0C30452B" w14:textId="108C93F0" w:rsidR="00071C1F" w:rsidRDefault="00F43758" w:rsidP="00A07ED3">
      <w:pPr>
        <w:contextualSpacing/>
      </w:pPr>
      <w:r>
        <w:t xml:space="preserve">b. </w:t>
      </w:r>
      <w:r w:rsidR="00071C1F">
        <w:t>Ford</w:t>
      </w:r>
    </w:p>
    <w:p w14:paraId="32DA3739" w14:textId="27FC63AF" w:rsidR="00071C1F" w:rsidRDefault="00F43758" w:rsidP="00A07ED3">
      <w:pPr>
        <w:contextualSpacing/>
      </w:pPr>
      <w:r>
        <w:lastRenderedPageBreak/>
        <w:t xml:space="preserve">c. </w:t>
      </w:r>
      <w:r w:rsidR="00071C1F">
        <w:t>Reagan</w:t>
      </w:r>
    </w:p>
    <w:p w14:paraId="78854CD0" w14:textId="0E1B94F3" w:rsidR="00071C1F" w:rsidRDefault="00F43758" w:rsidP="00A07ED3">
      <w:pPr>
        <w:contextualSpacing/>
      </w:pPr>
      <w:r>
        <w:t xml:space="preserve">d. </w:t>
      </w:r>
      <w:r w:rsidR="00071C1F">
        <w:t>Obama</w:t>
      </w:r>
    </w:p>
    <w:p w14:paraId="532DF815" w14:textId="77777777" w:rsidR="00F43758" w:rsidRDefault="00F43758" w:rsidP="00A07ED3">
      <w:pPr>
        <w:contextualSpacing/>
      </w:pPr>
    </w:p>
    <w:p w14:paraId="2CE0AFDD" w14:textId="2593143F" w:rsidR="00071C1F" w:rsidRDefault="00F43758" w:rsidP="00A07ED3">
      <w:pPr>
        <w:contextualSpacing/>
      </w:pPr>
      <w:r>
        <w:t xml:space="preserve">@ Feedback: </w:t>
      </w:r>
      <w:r w:rsidR="00071C1F">
        <w:t>President Truman, at least for this period, holds the record for largest number per year, President Obama the least.</w:t>
      </w:r>
    </w:p>
    <w:p w14:paraId="7B4B26A4" w14:textId="6E27921E" w:rsidR="00071C1F" w:rsidRDefault="00071C1F" w:rsidP="00A07ED3">
      <w:pPr>
        <w:contextualSpacing/>
      </w:pPr>
    </w:p>
    <w:p w14:paraId="0D1651C0" w14:textId="7F1D8C52" w:rsidR="00071C1F" w:rsidRDefault="00F43758" w:rsidP="00A07ED3">
      <w:pPr>
        <w:contextualSpacing/>
      </w:pPr>
      <w:r>
        <w:t xml:space="preserve">2. </w:t>
      </w:r>
      <w:r w:rsidR="00071C1F">
        <w:t>Compared to the Truman and Eisenhower administrations, the number of presidential vetoes in subsequent administrations is relatively low.</w:t>
      </w:r>
    </w:p>
    <w:p w14:paraId="2C4AE315" w14:textId="2E05473D" w:rsidR="00071C1F" w:rsidRPr="00A96251" w:rsidRDefault="00F43758" w:rsidP="00A07ED3">
      <w:pPr>
        <w:contextualSpacing/>
      </w:pPr>
      <w:r>
        <w:t>*a. True</w:t>
      </w:r>
    </w:p>
    <w:p w14:paraId="5592C7F0" w14:textId="77777777" w:rsidR="00F43758" w:rsidRDefault="00F43758" w:rsidP="00A07ED3">
      <w:pPr>
        <w:contextualSpacing/>
      </w:pPr>
      <w:r>
        <w:t>b. False</w:t>
      </w:r>
    </w:p>
    <w:p w14:paraId="4FF6562C" w14:textId="7B0D3101" w:rsidR="00071C1F" w:rsidRDefault="00071C1F" w:rsidP="00A07ED3">
      <w:pPr>
        <w:contextualSpacing/>
      </w:pPr>
      <w:r>
        <w:tab/>
      </w:r>
    </w:p>
    <w:p w14:paraId="3854C301" w14:textId="441DE601" w:rsidR="00071C1F" w:rsidRDefault="00F43758" w:rsidP="00A07ED3">
      <w:pPr>
        <w:contextualSpacing/>
      </w:pPr>
      <w:r>
        <w:t xml:space="preserve">@ Feedback: </w:t>
      </w:r>
      <w:r w:rsidR="00071C1F">
        <w:t>Even with increases in the Ford administration, no subsequent administration has matched those numbers, although percentages were higher in several congressional terms in later years.</w:t>
      </w:r>
    </w:p>
    <w:p w14:paraId="26C9E238" w14:textId="77777777" w:rsidR="00071C1F" w:rsidRDefault="00071C1F" w:rsidP="00A07ED3">
      <w:pPr>
        <w:contextualSpacing/>
      </w:pPr>
    </w:p>
    <w:p w14:paraId="7CED1D6B" w14:textId="214B9143" w:rsidR="00071C1F" w:rsidRDefault="00071C1F" w:rsidP="00A07ED3">
      <w:pPr>
        <w:contextualSpacing/>
      </w:pPr>
      <w:r>
        <w:br w:type="page"/>
      </w:r>
    </w:p>
    <w:p w14:paraId="2F8E9765" w14:textId="75174975" w:rsidR="00071C1F" w:rsidRDefault="00A96251" w:rsidP="00A07ED3">
      <w:pPr>
        <w:contextualSpacing/>
      </w:pPr>
      <w:r>
        <w:lastRenderedPageBreak/>
        <w:t>Figure</w:t>
      </w:r>
      <w:r w:rsidR="00071C1F">
        <w:t xml:space="preserve"> 7-6:</w:t>
      </w:r>
    </w:p>
    <w:p w14:paraId="0C52CB8C" w14:textId="6880ABBB" w:rsidR="00071C1F" w:rsidRDefault="00A96251" w:rsidP="00A07ED3">
      <w:pPr>
        <w:contextualSpacing/>
      </w:pPr>
      <w:r>
        <w:rPr>
          <w:noProof/>
        </w:rPr>
        <w:drawing>
          <wp:inline distT="0" distB="0" distL="0" distR="0" wp14:anchorId="28609615" wp14:editId="3AC14923">
            <wp:extent cx="5943600" cy="4120643"/>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120643"/>
                    </a:xfrm>
                    <a:prstGeom prst="rect">
                      <a:avLst/>
                    </a:prstGeom>
                    <a:noFill/>
                    <a:ln>
                      <a:noFill/>
                    </a:ln>
                  </pic:spPr>
                </pic:pic>
              </a:graphicData>
            </a:graphic>
          </wp:inline>
        </w:drawing>
      </w:r>
    </w:p>
    <w:p w14:paraId="6CAF3949" w14:textId="1935A02E" w:rsidR="00F43758" w:rsidRDefault="00F43758" w:rsidP="00A07ED3">
      <w:pPr>
        <w:contextualSpacing/>
      </w:pPr>
      <w:r w:rsidRPr="00F43758">
        <w:rPr>
          <w:b/>
        </w:rPr>
        <w:t>Learning objective:</w:t>
      </w:r>
      <w:r>
        <w:t xml:space="preserve"> 7.3 </w:t>
      </w:r>
      <w:proofErr w:type="gramStart"/>
      <w:r>
        <w:t>Explain</w:t>
      </w:r>
      <w:proofErr w:type="gramEnd"/>
      <w:r>
        <w:t xml:space="preserve"> the dilemma of the president as a strategic actor.</w:t>
      </w:r>
    </w:p>
    <w:p w14:paraId="394EC586" w14:textId="77777777" w:rsidR="00F43758" w:rsidRDefault="00F43758" w:rsidP="00A07ED3">
      <w:pPr>
        <w:contextualSpacing/>
      </w:pPr>
    </w:p>
    <w:p w14:paraId="36750026" w14:textId="77777777" w:rsidR="00071C1F" w:rsidRDefault="00071C1F" w:rsidP="00A07ED3">
      <w:pPr>
        <w:contextualSpacing/>
      </w:pPr>
      <w:r>
        <w:t>With rare exception, the public’s overall approval of the sitting president’s performance declines during his administration, especially during one’s second term if reelected.  Certain critical episodes can reverse this trend temporarily.  The public rallied behind Ronald Reagan after the 1981 assassination attempt on his life. George W. Bush’s ratings sky rocketed after the September 11, 2001 attack on the World Trade Center in New York.  Those spikes have, however, become rather short-lived, especially after the good-will and support provided by independents and, especially, affiliates of the opposition party dwindles.  After the 9/11 attacks, for example, President Bush’s approval ratings dropped among all groups, including Republicans, but the decline was greatest among Democrats (see Figure 10-1).</w:t>
      </w:r>
    </w:p>
    <w:p w14:paraId="0D1AFBEB" w14:textId="77777777" w:rsidR="00A07ED3" w:rsidRDefault="00A07ED3" w:rsidP="00A07ED3">
      <w:pPr>
        <w:contextualSpacing/>
      </w:pPr>
    </w:p>
    <w:p w14:paraId="1DFC8417" w14:textId="4F3C18A1" w:rsidR="00F43758" w:rsidRPr="00F43758" w:rsidRDefault="00F43758" w:rsidP="00A07ED3">
      <w:pPr>
        <w:contextualSpacing/>
        <w:rPr>
          <w:b/>
        </w:rPr>
      </w:pPr>
      <w:r w:rsidRPr="00F43758">
        <w:rPr>
          <w:b/>
        </w:rPr>
        <w:t>Questions to Consider:</w:t>
      </w:r>
    </w:p>
    <w:p w14:paraId="7B643B19" w14:textId="77777777" w:rsidR="00F43758" w:rsidRDefault="00F43758" w:rsidP="00A07ED3">
      <w:pPr>
        <w:contextualSpacing/>
      </w:pPr>
    </w:p>
    <w:p w14:paraId="62DB8CE1" w14:textId="4F89BD91" w:rsidR="00071C1F" w:rsidRDefault="00F43758" w:rsidP="00A07ED3">
      <w:pPr>
        <w:contextualSpacing/>
      </w:pPr>
      <w:r>
        <w:t xml:space="preserve">1. </w:t>
      </w:r>
      <w:r w:rsidR="00071C1F">
        <w:t>Presidential approval ratings generally decline throughout each president’s terms.</w:t>
      </w:r>
    </w:p>
    <w:p w14:paraId="723A3EC9" w14:textId="77777777" w:rsidR="00F43758" w:rsidRDefault="00F43758" w:rsidP="00A07ED3">
      <w:pPr>
        <w:contextualSpacing/>
      </w:pPr>
      <w:r>
        <w:t>*a. True</w:t>
      </w:r>
    </w:p>
    <w:p w14:paraId="0F72BFDE" w14:textId="2D3FC27F" w:rsidR="00071C1F" w:rsidRDefault="00F43758" w:rsidP="00F43758">
      <w:pPr>
        <w:contextualSpacing/>
      </w:pPr>
      <w:r>
        <w:t>b. False</w:t>
      </w:r>
    </w:p>
    <w:p w14:paraId="02155AA2" w14:textId="77777777" w:rsidR="00F43758" w:rsidRDefault="00F43758" w:rsidP="00F43758">
      <w:pPr>
        <w:contextualSpacing/>
      </w:pPr>
    </w:p>
    <w:p w14:paraId="4037714E" w14:textId="6428F384" w:rsidR="00071C1F" w:rsidRDefault="00F43758" w:rsidP="00A07ED3">
      <w:pPr>
        <w:contextualSpacing/>
      </w:pPr>
      <w:r>
        <w:t xml:space="preserve">@ Feedback: </w:t>
      </w:r>
      <w:r w:rsidR="00071C1F">
        <w:t>Although the decline is generally not continuous, presidential popularity at the end of each term is generally lower than at the beginning.  In the modern era, presidents Reagan and Clinton have been exceptions.</w:t>
      </w:r>
    </w:p>
    <w:p w14:paraId="2A028605" w14:textId="77777777" w:rsidR="00071C1F" w:rsidRDefault="00071C1F" w:rsidP="00A07ED3">
      <w:pPr>
        <w:contextualSpacing/>
      </w:pPr>
    </w:p>
    <w:p w14:paraId="420FBF3F" w14:textId="1212FA41" w:rsidR="00071C1F" w:rsidRDefault="00F43758" w:rsidP="00A07ED3">
      <w:pPr>
        <w:contextualSpacing/>
      </w:pPr>
      <w:r>
        <w:lastRenderedPageBreak/>
        <w:t xml:space="preserve">2. </w:t>
      </w:r>
      <w:r w:rsidR="00071C1F">
        <w:t>Since the 1950’s, the decline in presidential popularity in each administration has been matched by dramatic increases in polarization between the ratings of his party and the opposition.</w:t>
      </w:r>
    </w:p>
    <w:p w14:paraId="7128990B" w14:textId="09E26446" w:rsidR="00071C1F" w:rsidRDefault="00F43758" w:rsidP="00A07ED3">
      <w:pPr>
        <w:contextualSpacing/>
      </w:pPr>
      <w:r>
        <w:t>a. True</w:t>
      </w:r>
    </w:p>
    <w:p w14:paraId="4D2D976A" w14:textId="69168A02" w:rsidR="00F43758" w:rsidRDefault="00F43758" w:rsidP="00A07ED3">
      <w:pPr>
        <w:contextualSpacing/>
      </w:pPr>
      <w:r>
        <w:t>*b. False</w:t>
      </w:r>
    </w:p>
    <w:p w14:paraId="12E31C3E" w14:textId="77777777" w:rsidR="00071C1F" w:rsidRDefault="00071C1F" w:rsidP="00A07ED3">
      <w:pPr>
        <w:contextualSpacing/>
      </w:pPr>
    </w:p>
    <w:p w14:paraId="2DBF3803" w14:textId="20B95A07" w:rsidR="00071C1F" w:rsidRDefault="00F43758" w:rsidP="00A07ED3">
      <w:pPr>
        <w:contextualSpacing/>
      </w:pPr>
      <w:r>
        <w:t xml:space="preserve">@ Feedback: </w:t>
      </w:r>
      <w:r w:rsidR="00071C1F">
        <w:t>Although polarization generally increases, the inverse relationship between approval and polarization has been greatest during the Clinton, Obama, and both Bush administrations.</w:t>
      </w:r>
    </w:p>
    <w:p w14:paraId="1BD49B7E" w14:textId="77777777" w:rsidR="00071C1F" w:rsidRDefault="00071C1F" w:rsidP="00A07ED3">
      <w:pPr>
        <w:contextualSpacing/>
      </w:pPr>
    </w:p>
    <w:p w14:paraId="7AC8EAB2" w14:textId="01BF7638" w:rsidR="00071C1F" w:rsidRDefault="00F43758" w:rsidP="00A07ED3">
      <w:pPr>
        <w:contextualSpacing/>
      </w:pPr>
      <w:r>
        <w:t xml:space="preserve">3. </w:t>
      </w:r>
      <w:r w:rsidR="00071C1F">
        <w:t>Which of the following is most true?</w:t>
      </w:r>
    </w:p>
    <w:p w14:paraId="08E0B683" w14:textId="4641FCBE" w:rsidR="00071C1F" w:rsidRDefault="00F43758" w:rsidP="00A07ED3">
      <w:pPr>
        <w:contextualSpacing/>
      </w:pPr>
      <w:r>
        <w:t xml:space="preserve">a. </w:t>
      </w:r>
      <w:r w:rsidR="00071C1F">
        <w:t>Since the 1950s, presidential approval has generally declined along with polarization.</w:t>
      </w:r>
    </w:p>
    <w:p w14:paraId="2FC67F35" w14:textId="2F02DAC9" w:rsidR="00071C1F" w:rsidRDefault="00F43758" w:rsidP="00A07ED3">
      <w:pPr>
        <w:contextualSpacing/>
      </w:pPr>
      <w:r>
        <w:t xml:space="preserve">b. </w:t>
      </w:r>
      <w:r w:rsidR="00071C1F">
        <w:t>Since the 1950s, presidential approval has generally been epis</w:t>
      </w:r>
      <w:r>
        <w:t xml:space="preserve">odic but fairly stable overall </w:t>
      </w:r>
      <w:r w:rsidR="00071C1F">
        <w:t>along with polarization.</w:t>
      </w:r>
    </w:p>
    <w:p w14:paraId="6D0ACFE5" w14:textId="1B901BE0" w:rsidR="00071C1F" w:rsidRPr="00A96251" w:rsidRDefault="00F43758" w:rsidP="00A07ED3">
      <w:pPr>
        <w:contextualSpacing/>
      </w:pPr>
      <w:proofErr w:type="gramStart"/>
      <w:r>
        <w:t>*c.</w:t>
      </w:r>
      <w:proofErr w:type="gramEnd"/>
      <w:r>
        <w:t xml:space="preserve"> </w:t>
      </w:r>
      <w:r w:rsidR="00071C1F" w:rsidRPr="00A96251">
        <w:t>Since the 1950s, presidential approval ratings have been episodic but fairly stable overall but, overall, polarization has increased.</w:t>
      </w:r>
    </w:p>
    <w:p w14:paraId="52D67482" w14:textId="028A2577" w:rsidR="00071C1F" w:rsidRDefault="00F43758" w:rsidP="00A07ED3">
      <w:pPr>
        <w:contextualSpacing/>
      </w:pPr>
      <w:r>
        <w:t xml:space="preserve">d. </w:t>
      </w:r>
      <w:r w:rsidR="00071C1F">
        <w:t>Since the 1950s, presidential approval ratings have been episodic but fairly stable overall but, overall, polarization has decreased.</w:t>
      </w:r>
    </w:p>
    <w:p w14:paraId="19072559" w14:textId="77777777" w:rsidR="00A07ED3" w:rsidRDefault="00A07ED3" w:rsidP="00A07ED3">
      <w:pPr>
        <w:contextualSpacing/>
      </w:pPr>
    </w:p>
    <w:p w14:paraId="084083DC" w14:textId="08CBE57B" w:rsidR="00071C1F" w:rsidRDefault="00F43758" w:rsidP="00A07ED3">
      <w:pPr>
        <w:contextualSpacing/>
      </w:pPr>
      <w:r>
        <w:t xml:space="preserve">@ Feedback: </w:t>
      </w:r>
      <w:r w:rsidR="00071C1F">
        <w:t>Each administration witnesses fairly dramatic fluctuations in approval, generally trending downwards for each term of a president’s administration.  The general average rating across time has not, however, declined that much.  Although polarization has generally moved in the opposite direction of approval, polarization has been at its highest during the past two administrations.  Notice also that the decline in approval for President Nixon, reaching the lowest point in modern history with the exception of George W. Bush towards the end of his term, was not accompanied by the level of polarization of the last two administrations.</w:t>
      </w:r>
    </w:p>
    <w:p w14:paraId="2E0F403A" w14:textId="77777777" w:rsidR="00071C1F" w:rsidRDefault="00071C1F" w:rsidP="00A07ED3">
      <w:pPr>
        <w:contextualSpacing/>
      </w:pPr>
    </w:p>
    <w:p w14:paraId="1A1FB87B" w14:textId="77777777" w:rsidR="00071C1F" w:rsidRDefault="00071C1F" w:rsidP="00A07ED3">
      <w:pPr>
        <w:contextualSpacing/>
      </w:pPr>
    </w:p>
    <w:p w14:paraId="4DF4FE21" w14:textId="77777777" w:rsidR="00071C1F" w:rsidRDefault="00071C1F" w:rsidP="00A07ED3">
      <w:pPr>
        <w:contextualSpacing/>
      </w:pPr>
    </w:p>
    <w:p w14:paraId="4AC621B6" w14:textId="77777777" w:rsidR="00071C1F" w:rsidRDefault="00071C1F" w:rsidP="00A07ED3">
      <w:pPr>
        <w:contextualSpacing/>
      </w:pPr>
    </w:p>
    <w:p w14:paraId="2E082846" w14:textId="77777777" w:rsidR="00071C1F" w:rsidRDefault="00071C1F" w:rsidP="00A07ED3">
      <w:pPr>
        <w:contextualSpacing/>
      </w:pPr>
    </w:p>
    <w:p w14:paraId="09FDC127" w14:textId="77777777" w:rsidR="0077531E" w:rsidRDefault="0077531E" w:rsidP="00A07ED3">
      <w:pPr>
        <w:contextualSpacing/>
      </w:pPr>
    </w:p>
    <w:sectPr w:rsidR="0077531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1C1F"/>
    <w:rsid w:val="00071C1F"/>
    <w:rsid w:val="0077531E"/>
    <w:rsid w:val="00892C8C"/>
    <w:rsid w:val="009D0C42"/>
    <w:rsid w:val="00A07ED3"/>
    <w:rsid w:val="00A96251"/>
    <w:rsid w:val="00F437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6ACE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1C1F"/>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71C1F"/>
    <w:rPr>
      <w:color w:val="0563C1" w:themeColor="hyperlink"/>
      <w:u w:val="single"/>
    </w:rPr>
  </w:style>
  <w:style w:type="paragraph" w:styleId="BalloonText">
    <w:name w:val="Balloon Text"/>
    <w:basedOn w:val="Normal"/>
    <w:link w:val="BalloonTextChar"/>
    <w:uiPriority w:val="99"/>
    <w:semiHidden/>
    <w:unhideWhenUsed/>
    <w:rsid w:val="00A9625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96251"/>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1C1F"/>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71C1F"/>
    <w:rPr>
      <w:color w:val="0563C1" w:themeColor="hyperlink"/>
      <w:u w:val="single"/>
    </w:rPr>
  </w:style>
  <w:style w:type="paragraph" w:styleId="BalloonText">
    <w:name w:val="Balloon Text"/>
    <w:basedOn w:val="Normal"/>
    <w:link w:val="BalloonTextChar"/>
    <w:uiPriority w:val="99"/>
    <w:semiHidden/>
    <w:unhideWhenUsed/>
    <w:rsid w:val="00A9625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96251"/>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740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princeton.edu/~ccameron/The%20Presidential%20Veto%20v3.pdf" TargetMode="External"/><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4.png"/><Relationship Id="rId5" Type="http://schemas.openxmlformats.org/officeDocument/2006/relationships/image" Target="media/image1.png"/><Relationship Id="rId10" Type="http://schemas.openxmlformats.org/officeDocument/2006/relationships/hyperlink" Target="http://www.presidency.ucsb.edu/data/vetoes.php" TargetMode="External"/><Relationship Id="rId4" Type="http://schemas.openxmlformats.org/officeDocument/2006/relationships/webSettings" Target="webSettings.xml"/><Relationship Id="rId9" Type="http://schemas.openxmlformats.org/officeDocument/2006/relationships/hyperlink" Target="https://www.aei.org/publication/vital-statistics-on-congress/"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 Id="rId5" Type="http://schemas.microsoft.com/office/2011/relationships/chartColorStyle" Target="colors1.xml"/><Relationship Id="rId4"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Presidential Vetoes 1947-2013</a:t>
            </a:r>
          </a:p>
        </c:rich>
      </c:tx>
      <c:layout/>
      <c:overlay val="0"/>
      <c:spPr>
        <a:noFill/>
        <a:ln>
          <a:noFill/>
        </a:ln>
        <a:effectLst/>
      </c:spPr>
    </c:title>
    <c:autoTitleDeleted val="0"/>
    <c:plotArea>
      <c:layout>
        <c:manualLayout>
          <c:layoutTarget val="inner"/>
          <c:xMode val="edge"/>
          <c:yMode val="edge"/>
          <c:x val="7.3244531219894396E-2"/>
          <c:y val="0.149195494770716"/>
          <c:w val="0.90500451717597297"/>
          <c:h val="0.54131767821057797"/>
        </c:manualLayout>
      </c:layout>
      <c:barChart>
        <c:barDir val="col"/>
        <c:grouping val="clustered"/>
        <c:varyColors val="0"/>
        <c:ser>
          <c:idx val="0"/>
          <c:order val="0"/>
          <c:spPr>
            <a:solidFill>
              <a:schemeClr val="accent1">
                <a:lumMod val="50000"/>
              </a:schemeClr>
            </a:solidFill>
            <a:ln>
              <a:solidFill>
                <a:schemeClr val="accent1">
                  <a:lumMod val="50000"/>
                </a:schemeClr>
              </a:solidFill>
            </a:ln>
            <a:effectLst/>
          </c:spPr>
          <c:invertIfNegative val="0"/>
          <c:dPt>
            <c:idx val="1"/>
            <c:invertIfNegative val="0"/>
            <c:bubble3D val="0"/>
            <c:spPr>
              <a:solidFill>
                <a:srgbClr val="C00000"/>
              </a:solidFill>
              <a:ln>
                <a:solidFill>
                  <a:srgbClr val="C00000"/>
                </a:solidFill>
              </a:ln>
              <a:effectLst/>
            </c:spPr>
          </c:dPt>
          <c:dPt>
            <c:idx val="2"/>
            <c:invertIfNegative val="0"/>
            <c:bubble3D val="0"/>
            <c:spPr>
              <a:solidFill>
                <a:srgbClr val="C00000"/>
              </a:solidFill>
              <a:ln>
                <a:solidFill>
                  <a:srgbClr val="C00000"/>
                </a:solidFill>
              </a:ln>
              <a:effectLst/>
            </c:spPr>
          </c:dPt>
          <c:dPt>
            <c:idx val="3"/>
            <c:invertIfNegative val="0"/>
            <c:bubble3D val="0"/>
            <c:spPr>
              <a:solidFill>
                <a:srgbClr val="C00000"/>
              </a:solidFill>
              <a:ln>
                <a:solidFill>
                  <a:srgbClr val="C00000"/>
                </a:solidFill>
              </a:ln>
              <a:effectLst/>
            </c:spPr>
          </c:dPt>
          <c:dPt>
            <c:idx val="7"/>
            <c:invertIfNegative val="0"/>
            <c:bubble3D val="0"/>
            <c:spPr>
              <a:solidFill>
                <a:srgbClr val="C00000"/>
              </a:solidFill>
              <a:ln>
                <a:solidFill>
                  <a:srgbClr val="C00000"/>
                </a:solidFill>
              </a:ln>
              <a:effectLst/>
            </c:spPr>
          </c:dPt>
          <c:dPt>
            <c:idx val="8"/>
            <c:invertIfNegative val="0"/>
            <c:bubble3D val="0"/>
            <c:spPr>
              <a:solidFill>
                <a:srgbClr val="C00000"/>
              </a:solidFill>
              <a:ln>
                <a:solidFill>
                  <a:srgbClr val="C00000"/>
                </a:solidFill>
              </a:ln>
              <a:effectLst/>
            </c:spPr>
          </c:dPt>
          <c:dPt>
            <c:idx val="9"/>
            <c:invertIfNegative val="0"/>
            <c:bubble3D val="0"/>
            <c:spPr>
              <a:solidFill>
                <a:srgbClr val="C00000"/>
              </a:solidFill>
              <a:ln>
                <a:solidFill>
                  <a:srgbClr val="C00000"/>
                </a:solidFill>
              </a:ln>
              <a:effectLst/>
            </c:spPr>
          </c:dPt>
          <c:dPt>
            <c:idx val="10"/>
            <c:invertIfNegative val="0"/>
            <c:bubble3D val="0"/>
            <c:spPr>
              <a:solidFill>
                <a:srgbClr val="C00000"/>
              </a:solidFill>
              <a:ln>
                <a:solidFill>
                  <a:srgbClr val="C00000"/>
                </a:solidFill>
              </a:ln>
              <a:effectLst/>
            </c:spPr>
          </c:dPt>
          <c:dPt>
            <c:idx val="15"/>
            <c:invertIfNegative val="0"/>
            <c:bubble3D val="0"/>
            <c:spPr>
              <a:solidFill>
                <a:srgbClr val="C00000"/>
              </a:solidFill>
              <a:ln>
                <a:solidFill>
                  <a:srgbClr val="C00000"/>
                </a:solidFill>
              </a:ln>
              <a:effectLst/>
            </c:spPr>
          </c:dPt>
          <c:dPt>
            <c:idx val="16"/>
            <c:invertIfNegative val="0"/>
            <c:bubble3D val="0"/>
            <c:spPr>
              <a:solidFill>
                <a:srgbClr val="C00000"/>
              </a:solidFill>
              <a:ln>
                <a:solidFill>
                  <a:srgbClr val="C00000"/>
                </a:solidFill>
              </a:ln>
              <a:effectLst/>
            </c:spPr>
          </c:dPt>
          <c:dPt>
            <c:idx val="29"/>
            <c:invertIfNegative val="0"/>
            <c:bubble3D val="0"/>
            <c:spPr>
              <a:solidFill>
                <a:srgbClr val="C00000"/>
              </a:solidFill>
              <a:ln>
                <a:solidFill>
                  <a:srgbClr val="C00000"/>
                </a:solidFill>
              </a:ln>
              <a:effectLst/>
            </c:spPr>
          </c:dPt>
          <c:dPt>
            <c:idx val="31"/>
            <c:invertIfNegative val="0"/>
            <c:bubble3D val="0"/>
            <c:spPr>
              <a:solidFill>
                <a:srgbClr val="C00000"/>
              </a:solidFill>
              <a:ln>
                <a:solidFill>
                  <a:srgbClr val="C00000"/>
                </a:solidFill>
              </a:ln>
              <a:effectLst/>
            </c:spPr>
          </c:dPt>
          <c:cat>
            <c:strRef>
              <c:f>Sheet1!$A$148:$A$181</c:f>
              <c:strCache>
                <c:ptCount val="32"/>
                <c:pt idx="0">
                  <c:v>Truman</c:v>
                </c:pt>
                <c:pt idx="3">
                  <c:v>Eisenhower</c:v>
                </c:pt>
                <c:pt idx="7">
                  <c:v>Kennedy</c:v>
                </c:pt>
                <c:pt idx="8">
                  <c:v>Kennedy-Johnson</c:v>
                </c:pt>
                <c:pt idx="9">
                  <c:v>Johnson</c:v>
                </c:pt>
                <c:pt idx="11">
                  <c:v>Richard Nixon</c:v>
                </c:pt>
                <c:pt idx="13">
                  <c:v>Nixon-Ford</c:v>
                </c:pt>
                <c:pt idx="14">
                  <c:v>Ford</c:v>
                </c:pt>
                <c:pt idx="15">
                  <c:v>Carter</c:v>
                </c:pt>
                <c:pt idx="17">
                  <c:v>Reagan</c:v>
                </c:pt>
                <c:pt idx="21">
                  <c:v>G Bush</c:v>
                </c:pt>
                <c:pt idx="23">
                  <c:v>Clinton</c:v>
                </c:pt>
                <c:pt idx="27">
                  <c:v>GW Bush</c:v>
                </c:pt>
                <c:pt idx="31">
                  <c:v>Obama</c:v>
                </c:pt>
              </c:strCache>
            </c:strRef>
          </c:cat>
          <c:val>
            <c:numRef>
              <c:f>Sheet1!$C$148:$C$181</c:f>
              <c:numCache>
                <c:formatCode>0.0%</c:formatCode>
                <c:ptCount val="34"/>
                <c:pt idx="0">
                  <c:v>5.4985337243401801E-2</c:v>
                </c:pt>
                <c:pt idx="1">
                  <c:v>3.9031620553359701E-2</c:v>
                </c:pt>
                <c:pt idx="2">
                  <c:v>1.3605442176870699E-2</c:v>
                </c:pt>
                <c:pt idx="3">
                  <c:v>2.9164329781267501E-2</c:v>
                </c:pt>
                <c:pt idx="4">
                  <c:v>1.7699115044247801E-2</c:v>
                </c:pt>
                <c:pt idx="5">
                  <c:v>2.96511627906977E-2</c:v>
                </c:pt>
                <c:pt idx="6">
                  <c:v>3.4055727554179599E-2</c:v>
                </c:pt>
                <c:pt idx="7">
                  <c:v>1.27469725940089E-2</c:v>
                </c:pt>
                <c:pt idx="8">
                  <c:v>8.7719298245613996E-3</c:v>
                </c:pt>
                <c:pt idx="9">
                  <c:v>1.09119251753702E-2</c:v>
                </c:pt>
                <c:pt idx="10">
                  <c:v>7.9840319361277404E-3</c:v>
                </c:pt>
                <c:pt idx="11">
                  <c:v>1.16896918172157E-2</c:v>
                </c:pt>
                <c:pt idx="12">
                  <c:v>2.6041666666666699E-2</c:v>
                </c:pt>
                <c:pt idx="13">
                  <c:v>5.0518134715025899E-2</c:v>
                </c:pt>
                <c:pt idx="14">
                  <c:v>5.3497942386831303E-2</c:v>
                </c:pt>
                <c:pt idx="15">
                  <c:v>2.36318407960199E-2</c:v>
                </c:pt>
                <c:pt idx="16">
                  <c:v>1.6304347826087001E-2</c:v>
                </c:pt>
                <c:pt idx="17">
                  <c:v>2.83553875236295E-2</c:v>
                </c:pt>
                <c:pt idx="18">
                  <c:v>3.5555555555555597E-2</c:v>
                </c:pt>
                <c:pt idx="19">
                  <c:v>2.9069767441860499E-2</c:v>
                </c:pt>
                <c:pt idx="20">
                  <c:v>2.4967148488830498E-2</c:v>
                </c:pt>
                <c:pt idx="21">
                  <c:v>3.0030030030029999E-2</c:v>
                </c:pt>
                <c:pt idx="22">
                  <c:v>3.9344262295081998E-2</c:v>
                </c:pt>
                <c:pt idx="23">
                  <c:v>0</c:v>
                </c:pt>
                <c:pt idx="24">
                  <c:v>5.04451038575668E-2</c:v>
                </c:pt>
                <c:pt idx="25">
                  <c:v>1.9801980198019799E-2</c:v>
                </c:pt>
                <c:pt idx="26">
                  <c:v>1.9867549668874201E-2</c:v>
                </c:pt>
                <c:pt idx="27">
                  <c:v>0</c:v>
                </c:pt>
                <c:pt idx="28">
                  <c:v>0</c:v>
                </c:pt>
                <c:pt idx="29">
                  <c:v>2.0703933747412001E-3</c:v>
                </c:pt>
                <c:pt idx="30">
                  <c:v>2.3913043478260902E-2</c:v>
                </c:pt>
                <c:pt idx="31">
                  <c:v>5.1948051948051896E-3</c:v>
                </c:pt>
                <c:pt idx="32">
                  <c:v>0</c:v>
                </c:pt>
                <c:pt idx="33">
                  <c:v>0</c:v>
                </c:pt>
              </c:numCache>
            </c:numRef>
          </c:val>
        </c:ser>
        <c:dLbls>
          <c:showLegendKey val="0"/>
          <c:showVal val="0"/>
          <c:showCatName val="0"/>
          <c:showSerName val="0"/>
          <c:showPercent val="0"/>
          <c:showBubbleSize val="0"/>
        </c:dLbls>
        <c:gapWidth val="219"/>
        <c:overlap val="-27"/>
        <c:axId val="47170304"/>
        <c:axId val="47171840"/>
      </c:barChart>
      <c:catAx>
        <c:axId val="47170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71840"/>
        <c:crosses val="autoZero"/>
        <c:auto val="1"/>
        <c:lblAlgn val="ctr"/>
        <c:lblOffset val="100"/>
        <c:noMultiLvlLbl val="0"/>
      </c:catAx>
      <c:valAx>
        <c:axId val="47171840"/>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170304"/>
        <c:crosses val="autoZero"/>
        <c:crossBetween val="between"/>
      </c:valAx>
      <c:spPr>
        <a:noFill/>
        <a:ln w="25400">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0.69494</cdr:x>
      <cdr:y>0.69366</cdr:y>
    </cdr:from>
    <cdr:to>
      <cdr:x>0.70962</cdr:x>
      <cdr:y>0.69366</cdr:y>
    </cdr:to>
    <cdr:cxnSp macro="">
      <cdr:nvCxnSpPr>
        <cdr:cNvPr id="7" name="Straight Connector 6"/>
        <cdr:cNvCxnSpPr/>
      </cdr:nvCxnSpPr>
      <cdr:spPr>
        <a:xfrm xmlns:a="http://schemas.openxmlformats.org/drawingml/2006/main" flipV="1">
          <a:off x="4057641" y="2365357"/>
          <a:ext cx="85714" cy="0"/>
        </a:xfrm>
        <a:prstGeom xmlns:a="http://schemas.openxmlformats.org/drawingml/2006/main" prst="line">
          <a:avLst/>
        </a:prstGeom>
        <a:ln xmlns:a="http://schemas.openxmlformats.org/drawingml/2006/main" w="38100" cmpd="sng">
          <a:solidFill>
            <a:srgbClr val="C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0.79989</cdr:x>
      <cdr:y>0.69489</cdr:y>
    </cdr:from>
    <cdr:to>
      <cdr:x>0.81457</cdr:x>
      <cdr:y>0.69489</cdr:y>
    </cdr:to>
    <cdr:cxnSp macro="">
      <cdr:nvCxnSpPr>
        <cdr:cNvPr id="12" name="Straight Connector 11"/>
        <cdr:cNvCxnSpPr/>
      </cdr:nvCxnSpPr>
      <cdr:spPr>
        <a:xfrm xmlns:a="http://schemas.openxmlformats.org/drawingml/2006/main" flipV="1">
          <a:off x="4670425" y="2193925"/>
          <a:ext cx="85725" cy="1"/>
        </a:xfrm>
        <a:prstGeom xmlns:a="http://schemas.openxmlformats.org/drawingml/2006/main" prst="line">
          <a:avLst/>
        </a:prstGeom>
        <a:ln xmlns:a="http://schemas.openxmlformats.org/drawingml/2006/main" w="38100" cmpd="sng">
          <a:solidFill>
            <a:schemeClr val="tx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0.82436</cdr:x>
      <cdr:y>0.69489</cdr:y>
    </cdr:from>
    <cdr:to>
      <cdr:x>0.83904</cdr:x>
      <cdr:y>0.69489</cdr:y>
    </cdr:to>
    <cdr:cxnSp macro="">
      <cdr:nvCxnSpPr>
        <cdr:cNvPr id="13" name="Straight Connector 12"/>
        <cdr:cNvCxnSpPr/>
      </cdr:nvCxnSpPr>
      <cdr:spPr>
        <a:xfrm xmlns:a="http://schemas.openxmlformats.org/drawingml/2006/main" flipV="1">
          <a:off x="4813300" y="2193925"/>
          <a:ext cx="85725" cy="1"/>
        </a:xfrm>
        <a:prstGeom xmlns:a="http://schemas.openxmlformats.org/drawingml/2006/main" prst="line">
          <a:avLst/>
        </a:prstGeom>
        <a:ln xmlns:a="http://schemas.openxmlformats.org/drawingml/2006/main" w="38100" cmpd="sng">
          <a:solidFill>
            <a:schemeClr val="tx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0.92713</cdr:x>
      <cdr:y>0.69489</cdr:y>
    </cdr:from>
    <cdr:to>
      <cdr:x>0.94182</cdr:x>
      <cdr:y>0.69489</cdr:y>
    </cdr:to>
    <cdr:cxnSp macro="">
      <cdr:nvCxnSpPr>
        <cdr:cNvPr id="14" name="Straight Connector 13"/>
        <cdr:cNvCxnSpPr/>
      </cdr:nvCxnSpPr>
      <cdr:spPr>
        <a:xfrm xmlns:a="http://schemas.openxmlformats.org/drawingml/2006/main" flipV="1">
          <a:off x="5413375" y="2193925"/>
          <a:ext cx="85725" cy="1"/>
        </a:xfrm>
        <a:prstGeom xmlns:a="http://schemas.openxmlformats.org/drawingml/2006/main" prst="line">
          <a:avLst/>
        </a:prstGeom>
        <a:ln xmlns:a="http://schemas.openxmlformats.org/drawingml/2006/main" w="38100" cmpd="sng">
          <a:solidFill>
            <a:schemeClr val="tx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0.95487</cdr:x>
      <cdr:y>0.69489</cdr:y>
    </cdr:from>
    <cdr:to>
      <cdr:x>0.96955</cdr:x>
      <cdr:y>0.69489</cdr:y>
    </cdr:to>
    <cdr:cxnSp macro="">
      <cdr:nvCxnSpPr>
        <cdr:cNvPr id="15" name="Straight Connector 14"/>
        <cdr:cNvCxnSpPr/>
      </cdr:nvCxnSpPr>
      <cdr:spPr>
        <a:xfrm xmlns:a="http://schemas.openxmlformats.org/drawingml/2006/main" flipV="1">
          <a:off x="5575300" y="2193925"/>
          <a:ext cx="85725" cy="1"/>
        </a:xfrm>
        <a:prstGeom xmlns:a="http://schemas.openxmlformats.org/drawingml/2006/main" prst="line">
          <a:avLst/>
        </a:prstGeom>
        <a:ln xmlns:a="http://schemas.openxmlformats.org/drawingml/2006/main" w="38100" cmpd="sng">
          <a:solidFill>
            <a:schemeClr val="tx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0.56487</cdr:x>
      <cdr:y>0.87244</cdr:y>
    </cdr:from>
    <cdr:to>
      <cdr:x>0.87645</cdr:x>
      <cdr:y>0.95624</cdr:y>
    </cdr:to>
    <cdr:sp macro="" textlink="">
      <cdr:nvSpPr>
        <cdr:cNvPr id="16" name="Text Box 2"/>
        <cdr:cNvSpPr txBox="1">
          <a:spLocks xmlns:a="http://schemas.openxmlformats.org/drawingml/2006/main" noChangeArrowheads="1"/>
        </cdr:cNvSpPr>
      </cdr:nvSpPr>
      <cdr:spPr bwMode="auto">
        <a:xfrm xmlns:a="http://schemas.openxmlformats.org/drawingml/2006/main">
          <a:off x="3298177" y="2974968"/>
          <a:ext cx="1819261" cy="285754"/>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a:lstStyle xmlns:a="http://schemas.openxmlformats.org/drawingml/2006/main"/>
        <a:p xmlns:a="http://schemas.openxmlformats.org/drawingml/2006/main">
          <a:r>
            <a:rPr lang="en-US"/>
            <a:t>Unified         Divided</a:t>
          </a:r>
        </a:p>
      </cdr:txBody>
    </cdr:sp>
  </cdr:relSizeAnchor>
  <cdr:relSizeAnchor xmlns:cdr="http://schemas.openxmlformats.org/drawingml/2006/chartDrawing">
    <cdr:from>
      <cdr:x>0.66558</cdr:x>
      <cdr:y>0.89385</cdr:y>
    </cdr:from>
    <cdr:to>
      <cdr:x>0.69064</cdr:x>
      <cdr:y>0.92425</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3886200" y="3048000"/>
          <a:ext cx="146317" cy="103641"/>
        </a:xfrm>
        <a:prstGeom xmlns:a="http://schemas.openxmlformats.org/drawingml/2006/main" prst="rect">
          <a:avLst/>
        </a:prstGeom>
      </cdr:spPr>
    </cdr:pic>
  </cdr:relSizeAnchor>
  <cdr:relSizeAnchor xmlns:cdr="http://schemas.openxmlformats.org/drawingml/2006/chartDrawing">
    <cdr:from>
      <cdr:x>0.7901</cdr:x>
      <cdr:y>0.89758</cdr:y>
    </cdr:from>
    <cdr:to>
      <cdr:x>0.81294</cdr:x>
      <cdr:y>0.92272</cdr:y>
    </cdr:to>
    <cdr:sp macro="" textlink="">
      <cdr:nvSpPr>
        <cdr:cNvPr id="11" name="Rectangle 10"/>
        <cdr:cNvSpPr/>
      </cdr:nvSpPr>
      <cdr:spPr>
        <a:xfrm xmlns:a="http://schemas.openxmlformats.org/drawingml/2006/main">
          <a:off x="4613275" y="3060700"/>
          <a:ext cx="133350" cy="85725"/>
        </a:xfrm>
        <a:prstGeom xmlns:a="http://schemas.openxmlformats.org/drawingml/2006/main" prst="rect">
          <a:avLst/>
        </a:prstGeom>
        <a:solidFill xmlns:a="http://schemas.openxmlformats.org/drawingml/2006/main">
          <a:schemeClr val="tx2"/>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20</TotalTime>
  <Pages>8</Pages>
  <Words>1640</Words>
  <Characters>9353</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5</cp:revision>
  <dcterms:created xsi:type="dcterms:W3CDTF">2015-05-20T18:56:00Z</dcterms:created>
  <dcterms:modified xsi:type="dcterms:W3CDTF">2015-07-16T13:51:00Z</dcterms:modified>
</cp:coreProperties>
</file>